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桂财资〔2026〕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号附件</w:t>
      </w:r>
      <w:r>
        <w:rPr>
          <w:rFonts w:hint="default" w:ascii="黑体" w:hAnsi="黑体" w:eastAsia="黑体" w:cs="黑体"/>
          <w:sz w:val="32"/>
          <w:szCs w:val="32"/>
          <w:lang w:val="en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-2</w:t>
      </w:r>
    </w:p>
    <w:p>
      <w:pPr>
        <w:spacing w:line="360" w:lineRule="exact"/>
        <w:ind w:firstLine="720"/>
        <w:jc w:val="center"/>
        <w:rPr>
          <w:rFonts w:ascii="宋体" w:hAnsi="宋体" w:eastAsia="宋体"/>
          <w:sz w:val="36"/>
          <w:szCs w:val="36"/>
        </w:rPr>
      </w:pPr>
    </w:p>
    <w:p>
      <w:pPr>
        <w:snapToGrid w:val="0"/>
        <w:spacing w:line="6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</w:rPr>
        <w:t>财务情况说明书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eastAsia="zh-CN"/>
        </w:rPr>
        <w:t>（国有资产管理情况报告）</w:t>
      </w:r>
    </w:p>
    <w:p>
      <w:pPr>
        <w:snapToGrid w:val="0"/>
        <w:spacing w:line="640" w:lineRule="exact"/>
        <w:ind w:firstLine="0" w:firstLineChars="0"/>
        <w:jc w:val="center"/>
        <w:rPr>
          <w:rFonts w:hint="eastAsia" w:ascii="楷体_GB2312" w:hAnsi="楷体_GB2312" w:eastAsia="楷体_GB2312"/>
          <w:sz w:val="24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</w:rPr>
        <w:t>内容提要</w:t>
      </w:r>
    </w:p>
    <w:p>
      <w:pPr>
        <w:snapToGrid w:val="0"/>
        <w:spacing w:line="640" w:lineRule="exact"/>
        <w:ind w:firstLine="0" w:firstLineChars="0"/>
        <w:jc w:val="center"/>
        <w:rPr>
          <w:rFonts w:ascii="楷体_GB2312" w:hAnsi="楷体_GB2312" w:eastAsia="楷体_GB2312"/>
          <w:sz w:val="24"/>
        </w:rPr>
      </w:pPr>
      <w:r>
        <w:rPr>
          <w:rFonts w:hint="eastAsia" w:ascii="楷体_GB2312" w:hAnsi="楷体_GB2312" w:eastAsia="楷体_GB2312"/>
          <w:sz w:val="24"/>
        </w:rPr>
        <w:t>（</w:t>
      </w:r>
      <w:r>
        <w:rPr>
          <w:rFonts w:hint="eastAsia" w:ascii="楷体_GB2312" w:hAnsi="楷体_GB2312" w:eastAsia="楷体_GB2312"/>
          <w:sz w:val="24"/>
          <w:lang w:eastAsia="zh-CN"/>
        </w:rPr>
        <w:t>区直</w:t>
      </w:r>
      <w:r>
        <w:rPr>
          <w:rFonts w:hint="eastAsia" w:ascii="楷体_GB2312" w:hAnsi="楷体_GB2312" w:eastAsia="楷体_GB2312"/>
          <w:sz w:val="24"/>
        </w:rPr>
        <w:t>部门和财政局使用格式）</w:t>
      </w:r>
    </w:p>
    <w:p>
      <w:pPr>
        <w:spacing w:line="360" w:lineRule="exact"/>
        <w:ind w:firstLine="480"/>
        <w:jc w:val="center"/>
        <w:rPr>
          <w:rFonts w:ascii="楷体_GB2312" w:hAnsi="楷体_GB2312" w:eastAsia="楷体_GB2312"/>
          <w:sz w:val="24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jc w:val="left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财务情况说明书是年度财务决算报告的重要组成部分，</w:t>
      </w:r>
      <w:r>
        <w:rPr>
          <w:rFonts w:hint="eastAsia" w:ascii="仿宋_GB2312" w:hAnsi="宋体"/>
          <w:sz w:val="24"/>
          <w:lang w:eastAsia="zh-CN"/>
        </w:rPr>
        <w:t>各区直部门、各设区市财政局</w:t>
      </w:r>
      <w:r>
        <w:rPr>
          <w:rFonts w:hint="eastAsia" w:ascii="仿宋_GB2312" w:hAnsi="宋体"/>
          <w:sz w:val="24"/>
        </w:rPr>
        <w:t>应依据《企业财务会计报告条例》（国务院令第287号）等有关规定，以财务指标和相关统计指标为主要依据，对本年度所属企业的资产质量、财务状况、经营成果等情况进行分析说明，客观反映本部门、本地区企业运营特点及发展趋势。财务情况说明书主要包括以下内容：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一、基本情况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（一）本部门（地区）所属企业户数、结构及增减变化情况。</w:t>
      </w:r>
    </w:p>
    <w:p>
      <w:pPr>
        <w:keepNext/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（二）近三年主要财务指标及重要变化说明。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（三）企业职工人数及人工成本、薪酬水平情况。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（四）企业会计准则执行和审计情况。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二、财务状况分析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综合运用分类分析、比率分析、趋势分析和定性分析等方法，分析本部门（地区）所属企业经营发展情况。分类维度主要为行业、规模、管理级别和组织形式等，关注占比和集中度；比率分析主要围绕“国有企业主要分析指标表”中相关指标，以及具有行业特点的指标；趋势分析重点对比往年数据，重要指标建议分析3-5年的发展趋势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（一）资产负债情况分析。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1</w:t>
      </w:r>
      <w:r>
        <w:rPr>
          <w:rFonts w:hint="eastAsia" w:ascii="仿宋_GB2312" w:hAnsi="宋体"/>
          <w:sz w:val="24"/>
          <w:lang w:val="en-US" w:eastAsia="zh-CN"/>
        </w:rPr>
        <w:t>.</w:t>
      </w:r>
      <w:r>
        <w:rPr>
          <w:rFonts w:hint="eastAsia" w:ascii="仿宋_GB2312" w:hAnsi="宋体"/>
          <w:sz w:val="24"/>
        </w:rPr>
        <w:t>重要资产变化及原因分析，包括应收账款、存货、无形资产、固定资产等。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2</w:t>
      </w:r>
      <w:r>
        <w:rPr>
          <w:rFonts w:hint="eastAsia" w:ascii="仿宋_GB2312" w:hAnsi="宋体"/>
          <w:sz w:val="24"/>
          <w:lang w:val="en-US" w:eastAsia="zh-CN"/>
        </w:rPr>
        <w:t>.</w:t>
      </w:r>
      <w:r>
        <w:rPr>
          <w:rFonts w:hint="eastAsia" w:ascii="仿宋_GB2312" w:hAnsi="宋体"/>
          <w:sz w:val="24"/>
        </w:rPr>
        <w:t>资产运营质量和资产管理情况分析，包括资产周转情况、无效资产清理、存量资产盘活</w:t>
      </w:r>
      <w:r>
        <w:rPr>
          <w:rFonts w:hint="eastAsia" w:ascii="宋体"/>
          <w:sz w:val="24"/>
        </w:rPr>
        <w:t>、国有资产统一集中管理</w:t>
      </w:r>
      <w:r>
        <w:rPr>
          <w:rFonts w:hint="eastAsia" w:ascii="仿宋_GB2312" w:hAnsi="宋体"/>
          <w:sz w:val="24"/>
        </w:rPr>
        <w:t>等。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宋体"/>
          <w:sz w:val="24"/>
        </w:rPr>
        <w:t>3</w:t>
      </w:r>
      <w:r>
        <w:rPr>
          <w:rFonts w:hint="eastAsia" w:ascii="宋体"/>
          <w:sz w:val="24"/>
          <w:lang w:val="en-US" w:eastAsia="zh-CN"/>
        </w:rPr>
        <w:t>.</w:t>
      </w:r>
      <w:r>
        <w:rPr>
          <w:rFonts w:hint="eastAsia" w:ascii="宋体"/>
          <w:sz w:val="24"/>
        </w:rPr>
        <w:t>债务分析，包括负债结构、融资成本、债务风险等。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（二）所有者权益情况分析。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 w:hAnsi="仿宋_GB2312"/>
          <w:sz w:val="24"/>
        </w:rPr>
        <w:t>（三）国有资产总量、</w:t>
      </w:r>
      <w:r>
        <w:rPr>
          <w:rFonts w:hint="eastAsia" w:ascii="仿宋_GB2312"/>
          <w:sz w:val="24"/>
        </w:rPr>
        <w:t>国有资本权益和国有资本保值增值情况分析。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三、生产经营情况分析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综合运用分类分析、比率分析、趋势分析和定性分析等方法，分析本部门（地区）所属企业经营发展情况。分类维度主要为行业、规模、管理级别和组织形式等，关注占比和集中度；比率分析主要围绕“国有企业主要分析指标表”中相关指标，以及具有行业特点的指标；趋势分析重点对比往年数据，重要指标建议分析3-5年的发展趋势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（一）收入利润分析。</w:t>
      </w:r>
    </w:p>
    <w:p>
      <w:pPr>
        <w:pStyle w:val="7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1</w:t>
      </w:r>
      <w:r>
        <w:rPr>
          <w:rFonts w:hint="eastAsia" w:eastAsia="仿宋_GB2312"/>
          <w:sz w:val="24"/>
          <w:lang w:val="en-US" w:eastAsia="zh-CN"/>
        </w:rPr>
        <w:t>.</w:t>
      </w:r>
      <w:r>
        <w:rPr>
          <w:rFonts w:hint="eastAsia" w:eastAsia="仿宋_GB2312"/>
          <w:sz w:val="24"/>
        </w:rPr>
        <w:t>盈利能力及经营增长情况分析。</w:t>
      </w:r>
    </w:p>
    <w:p>
      <w:pPr>
        <w:pStyle w:val="7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hint="eastAsia" w:eastAsia="仿宋_GB2312"/>
          <w:sz w:val="24"/>
          <w:lang w:val="en-US" w:eastAsia="zh-CN"/>
        </w:rPr>
        <w:t>.</w:t>
      </w:r>
      <w:r>
        <w:rPr>
          <w:rFonts w:hint="eastAsia" w:eastAsia="仿宋_GB2312"/>
          <w:sz w:val="24"/>
        </w:rPr>
        <w:t>成本费用管理情况分析。</w:t>
      </w:r>
    </w:p>
    <w:p>
      <w:pPr>
        <w:pStyle w:val="7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 w:eastAsia="仿宋_GB2312"/>
          <w:sz w:val="24"/>
        </w:rPr>
      </w:pPr>
      <w:r>
        <w:rPr>
          <w:rFonts w:ascii="仿宋_GB2312" w:eastAsia="仿宋_GB2312"/>
          <w:sz w:val="24"/>
        </w:rPr>
        <w:t>3</w:t>
      </w:r>
      <w:r>
        <w:rPr>
          <w:rFonts w:hint="eastAsia" w:ascii="仿宋_GB2312" w:eastAsia="仿宋_GB2312"/>
          <w:sz w:val="24"/>
          <w:lang w:val="en-US" w:eastAsia="zh-CN"/>
        </w:rPr>
        <w:t>.</w:t>
      </w:r>
      <w:r>
        <w:rPr>
          <w:rFonts w:hint="eastAsia" w:ascii="仿宋_GB2312" w:hAnsi="宋体" w:eastAsia="仿宋_GB2312"/>
          <w:sz w:val="24"/>
        </w:rPr>
        <w:t>亏损企业户数、亏损面、亏损额及亏损原因分析。</w:t>
      </w:r>
    </w:p>
    <w:p>
      <w:pPr>
        <w:pStyle w:val="7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（二）上交税费情况分析。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四、投资情况分析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（一）重要固定资产投资情况分析。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分析房地产开发、基建工程等重要固定资产投资的规模、资金来源及使用、风险管理等情况。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（二）股权投资情况分析。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分析</w:t>
      </w:r>
      <w:r>
        <w:rPr>
          <w:rFonts w:hint="eastAsia" w:ascii="仿宋_GB2312" w:hAnsi="仿宋_GB2312"/>
          <w:sz w:val="24"/>
        </w:rPr>
        <w:t>本部门（地区）所属重要企业的股权投资方向、规模和风险管理情况。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（三）基金投资情况分析。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分析</w:t>
      </w:r>
      <w:r>
        <w:rPr>
          <w:rFonts w:hint="eastAsia" w:ascii="仿宋_GB2312" w:hAnsi="仿宋_GB2312"/>
          <w:sz w:val="24"/>
        </w:rPr>
        <w:t>本部门（地区）所属重要国资基金的投资方向、规模和风险管理情况。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（四）境外投资情况分析。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 xml:space="preserve"> 分析</w:t>
      </w:r>
      <w:r>
        <w:rPr>
          <w:rFonts w:hint="eastAsia" w:ascii="仿宋_GB2312" w:hAnsi="仿宋_GB2312"/>
          <w:sz w:val="24"/>
        </w:rPr>
        <w:t>本部门（地区）所属重要企业</w:t>
      </w:r>
      <w:r>
        <w:rPr>
          <w:rFonts w:hint="eastAsia" w:ascii="仿宋_GB2312" w:hAnsi="宋体"/>
          <w:sz w:val="24"/>
        </w:rPr>
        <w:t>的境外投资情况，包括投资规模、投资领域、投资收益及变化，境外投资风险和风险防范机制等。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五、重大事项说明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仿宋_GB2312" w:hAnsi="仿宋_GB2312"/>
          <w:sz w:val="24"/>
        </w:rPr>
        <w:t>对本部门（地区）所属企业重大资产重组、</w:t>
      </w:r>
      <w:r>
        <w:rPr>
          <w:rFonts w:hint="eastAsia" w:ascii="仿宋_GB2312" w:hAnsi="宋体"/>
          <w:sz w:val="24"/>
        </w:rPr>
        <w:t>债务重组、兼并收购、改制上市、重大投融资、重大资产处置、股权（产权）转让及</w:t>
      </w:r>
      <w:r>
        <w:rPr>
          <w:rFonts w:hint="eastAsia"/>
          <w:sz w:val="24"/>
        </w:rPr>
        <w:t>资产损失情况</w:t>
      </w:r>
      <w:r>
        <w:rPr>
          <w:rFonts w:hint="eastAsia" w:ascii="仿宋_GB2312" w:hAnsi="宋体"/>
          <w:sz w:val="24"/>
        </w:rPr>
        <w:t>等重大事项进行详细说明和分析。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六、财务管理工作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对本部门（地区）所属重要企业集团财务管控模式、全面预算管理执行情况，所属企业财务管理中存在的主要问题和改进计划等</w:t>
      </w:r>
      <w:r>
        <w:rPr>
          <w:rFonts w:hint="eastAsia" w:ascii="仿宋_GB2312" w:hAnsi="宋体"/>
          <w:sz w:val="24"/>
        </w:rPr>
        <w:t>进行说明和分析</w:t>
      </w:r>
      <w:r>
        <w:rPr>
          <w:rFonts w:hint="eastAsia" w:ascii="仿宋_GB2312" w:hAnsi="仿宋_GB2312"/>
          <w:sz w:val="24"/>
        </w:rPr>
        <w:t>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七、有关问题及整改情况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宋体"/>
          <w:sz w:val="24"/>
        </w:rPr>
      </w:pPr>
      <w:r>
        <w:rPr>
          <w:rFonts w:hint="eastAsia" w:ascii="仿宋_GB2312" w:hAnsi="Arial"/>
          <w:sz w:val="24"/>
        </w:rPr>
        <w:t>（一）</w:t>
      </w:r>
      <w:r>
        <w:rPr>
          <w:rFonts w:hint="eastAsia" w:ascii="仿宋_GB2312" w:hAnsi="宋体"/>
          <w:sz w:val="24"/>
        </w:rPr>
        <w:t>有关方面的巡视、检查、审计等监管工作中发现的各类问题。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eastAsia="黑体"/>
          <w:sz w:val="24"/>
        </w:rPr>
      </w:pPr>
      <w:r>
        <w:rPr>
          <w:rFonts w:hint="eastAsia" w:ascii="仿宋_GB2312" w:hAnsi="宋体"/>
          <w:sz w:val="24"/>
        </w:rPr>
        <w:t>（二）对上述发现问题的整改落实情况及拟采取的主要措施。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宋体" w:eastAsia="黑体"/>
          <w:sz w:val="24"/>
        </w:rPr>
      </w:pPr>
      <w:r>
        <w:rPr>
          <w:rFonts w:hint="eastAsia" w:ascii="黑体" w:eastAsia="黑体"/>
          <w:sz w:val="24"/>
        </w:rPr>
        <w:t>八</w:t>
      </w:r>
      <w:r>
        <w:rPr>
          <w:rFonts w:hint="eastAsia" w:ascii="黑体" w:hAnsi="宋体" w:eastAsia="黑体"/>
          <w:sz w:val="24"/>
        </w:rPr>
        <w:t>、重要工作、困难挑战及改革建议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（一）说明本部门（地区）所属企业</w:t>
      </w:r>
      <w:r>
        <w:rPr>
          <w:rFonts w:hint="eastAsia" w:ascii="仿宋_GB2312" w:hAnsi="宋体"/>
          <w:sz w:val="24"/>
        </w:rPr>
        <w:t>完成的重要工作，例如服务国家重要战略、参与国企改革试点、做出突出社会贡献等。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（二）说明本部门（地区）所属企业日常生产经营中普遍面临的主要困难与挑战。</w:t>
      </w:r>
    </w:p>
    <w:p>
      <w:pPr>
        <w:keepLines w:val="0"/>
        <w:pageBreakBefore w:val="0"/>
        <w:widowControl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（三）对促进国有企业改革和发展的有关工作建议。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firstLine="480" w:firstLineChars="200"/>
        <w:textAlignment w:val="auto"/>
        <w:rPr>
          <w:rFonts w:ascii="黑体" w:hAnsi="黑体" w:eastAsia="黑体"/>
          <w:sz w:val="24"/>
        </w:rPr>
      </w:pPr>
      <w:r>
        <w:rPr>
          <w:rFonts w:hint="eastAsia" w:ascii="黑体" w:eastAsia="黑体"/>
          <w:sz w:val="24"/>
        </w:rPr>
        <w:t>九、财务会计决算</w:t>
      </w:r>
      <w:r>
        <w:rPr>
          <w:rFonts w:hint="eastAsia" w:ascii="黑体" w:hAnsi="黑体" w:eastAsia="黑体"/>
          <w:sz w:val="24"/>
        </w:rPr>
        <w:t>工作建议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190" w:afterLines="50" w:line="440" w:lineRule="exact"/>
        <w:ind w:firstLine="480" w:firstLineChars="200"/>
        <w:textAlignment w:val="auto"/>
        <w:rPr>
          <w:rFonts w:ascii="仿宋_GB2312" w:hAnsi="仿宋_GB2312"/>
          <w:sz w:val="24"/>
        </w:rPr>
      </w:pPr>
      <w:r>
        <w:rPr>
          <w:rFonts w:hint="eastAsia" w:ascii="仿宋_GB2312" w:hAnsi="仿宋_GB2312"/>
          <w:sz w:val="24"/>
        </w:rPr>
        <w:t>对国有企业财务会计决算工作的有关建议，包括报表内容、软件系统、报送审核流程、培训指导及其他方面。</w:t>
      </w:r>
    </w:p>
    <w:p>
      <w:pPr>
        <w:pStyle w:val="4"/>
        <w:rPr>
          <w:rFonts w:ascii="楷体_GB2312" w:hAnsi="楷体_GB2312" w:eastAsia="楷体_GB2312" w:cs="楷体_GB2312"/>
        </w:rPr>
      </w:pPr>
    </w:p>
    <w:p>
      <w:pPr>
        <w:spacing w:line="500" w:lineRule="exact"/>
        <w:ind w:firstLine="0" w:firstLineChars="0"/>
        <w:rPr>
          <w:rFonts w:ascii="仿宋_GB2312" w:hAnsi="仿宋_GB2312"/>
          <w:sz w:val="24"/>
        </w:rPr>
      </w:pPr>
    </w:p>
    <w:p>
      <w:pPr>
        <w:spacing w:line="500" w:lineRule="exact"/>
        <w:ind w:firstLine="480"/>
        <w:rPr>
          <w:rFonts w:ascii="黑体" w:hAnsi="宋体" w:eastAsia="黑体"/>
          <w:sz w:val="24"/>
        </w:rPr>
      </w:pPr>
    </w:p>
    <w:p>
      <w:pPr>
        <w:spacing w:line="360" w:lineRule="exact"/>
        <w:ind w:firstLine="560"/>
        <w:rPr>
          <w:rFonts w:ascii="宋体" w:hAnsi="宋体"/>
        </w:rPr>
      </w:pPr>
    </w:p>
    <w:p>
      <w:pPr>
        <w:ind w:firstLine="560"/>
      </w:pPr>
    </w:p>
    <w:p>
      <w:pPr>
        <w:spacing w:line="360" w:lineRule="exact"/>
        <w:ind w:firstLine="560"/>
        <w:jc w:val="center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1797" w:right="1797" w:bottom="1797" w:left="1797" w:header="851" w:footer="567" w:gutter="0"/>
      <w:pgNumType w:fmt="decimal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-457200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6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OoCJ57UAAAACAEAAA8AAAAAAAAAAQAgAAAAOAAAAGRycy9kb3ducmV2LnhtbFBLAQIU&#10;ABQAAAAIAIdO4kAmGtJuGgIAACkEAAAOAAAAAAAAAAEAIAAAADk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ind w:firstLine="360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true"/>
  <w:bordersDoNotSurroundHeader w:val="true"/>
  <w:bordersDoNotSurroundFooter w:val="true"/>
  <w:documentProtection w:enforcement="0"/>
  <w:defaultTabStop w:val="420"/>
  <w:drawingGridHorizontalSpacing w:val="14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C6"/>
    <w:rsid w:val="00021E93"/>
    <w:rsid w:val="000231DE"/>
    <w:rsid w:val="00036AF9"/>
    <w:rsid w:val="00042AEC"/>
    <w:rsid w:val="00050464"/>
    <w:rsid w:val="000508D5"/>
    <w:rsid w:val="000514FB"/>
    <w:rsid w:val="00077BCF"/>
    <w:rsid w:val="000816FD"/>
    <w:rsid w:val="00082B01"/>
    <w:rsid w:val="00085C9E"/>
    <w:rsid w:val="000909F2"/>
    <w:rsid w:val="00090AD9"/>
    <w:rsid w:val="000A5283"/>
    <w:rsid w:val="000A7903"/>
    <w:rsid w:val="000B2EE6"/>
    <w:rsid w:val="000B31D8"/>
    <w:rsid w:val="000B4136"/>
    <w:rsid w:val="000B47E4"/>
    <w:rsid w:val="000D076E"/>
    <w:rsid w:val="000D0B67"/>
    <w:rsid w:val="000D6F63"/>
    <w:rsid w:val="000E1ABD"/>
    <w:rsid w:val="000E34ED"/>
    <w:rsid w:val="000F705A"/>
    <w:rsid w:val="00112DD6"/>
    <w:rsid w:val="00113C2D"/>
    <w:rsid w:val="00126B02"/>
    <w:rsid w:val="0013296F"/>
    <w:rsid w:val="00135D3F"/>
    <w:rsid w:val="0014269B"/>
    <w:rsid w:val="00156BD6"/>
    <w:rsid w:val="001665B5"/>
    <w:rsid w:val="0017035E"/>
    <w:rsid w:val="00174535"/>
    <w:rsid w:val="00180732"/>
    <w:rsid w:val="00186200"/>
    <w:rsid w:val="00190D32"/>
    <w:rsid w:val="001A0F91"/>
    <w:rsid w:val="001A19EF"/>
    <w:rsid w:val="001A3E93"/>
    <w:rsid w:val="001A4167"/>
    <w:rsid w:val="001B2C35"/>
    <w:rsid w:val="001B4F9F"/>
    <w:rsid w:val="001C4A8A"/>
    <w:rsid w:val="001D57B5"/>
    <w:rsid w:val="001E2CF5"/>
    <w:rsid w:val="001E54EA"/>
    <w:rsid w:val="001F4985"/>
    <w:rsid w:val="00214C82"/>
    <w:rsid w:val="0022188B"/>
    <w:rsid w:val="00225916"/>
    <w:rsid w:val="002275D2"/>
    <w:rsid w:val="0022773F"/>
    <w:rsid w:val="00231E03"/>
    <w:rsid w:val="00240BFB"/>
    <w:rsid w:val="00240F17"/>
    <w:rsid w:val="00251F6B"/>
    <w:rsid w:val="0026062F"/>
    <w:rsid w:val="0026411B"/>
    <w:rsid w:val="0026694E"/>
    <w:rsid w:val="0027012D"/>
    <w:rsid w:val="00273501"/>
    <w:rsid w:val="00276073"/>
    <w:rsid w:val="002765B3"/>
    <w:rsid w:val="00280844"/>
    <w:rsid w:val="00281237"/>
    <w:rsid w:val="00284CA8"/>
    <w:rsid w:val="002911E3"/>
    <w:rsid w:val="002A6E0D"/>
    <w:rsid w:val="002B3C24"/>
    <w:rsid w:val="002E6D05"/>
    <w:rsid w:val="002F5345"/>
    <w:rsid w:val="002F549C"/>
    <w:rsid w:val="002F75F4"/>
    <w:rsid w:val="003017CC"/>
    <w:rsid w:val="0030651A"/>
    <w:rsid w:val="00330C84"/>
    <w:rsid w:val="00332E24"/>
    <w:rsid w:val="003342E7"/>
    <w:rsid w:val="00336AFF"/>
    <w:rsid w:val="00341A4E"/>
    <w:rsid w:val="00343E23"/>
    <w:rsid w:val="00347334"/>
    <w:rsid w:val="00347B89"/>
    <w:rsid w:val="00355B0D"/>
    <w:rsid w:val="00365BE4"/>
    <w:rsid w:val="00380DC5"/>
    <w:rsid w:val="00383428"/>
    <w:rsid w:val="003B0899"/>
    <w:rsid w:val="003B7C95"/>
    <w:rsid w:val="003C1235"/>
    <w:rsid w:val="003E04BE"/>
    <w:rsid w:val="003E562F"/>
    <w:rsid w:val="003F3269"/>
    <w:rsid w:val="00405AFA"/>
    <w:rsid w:val="00406EE1"/>
    <w:rsid w:val="00420A93"/>
    <w:rsid w:val="00430128"/>
    <w:rsid w:val="004301E7"/>
    <w:rsid w:val="0043185E"/>
    <w:rsid w:val="004336FA"/>
    <w:rsid w:val="0044087B"/>
    <w:rsid w:val="00447AB5"/>
    <w:rsid w:val="00455495"/>
    <w:rsid w:val="00460984"/>
    <w:rsid w:val="00464A1E"/>
    <w:rsid w:val="004A007D"/>
    <w:rsid w:val="004A044F"/>
    <w:rsid w:val="004B39AD"/>
    <w:rsid w:val="004B59E8"/>
    <w:rsid w:val="004C1560"/>
    <w:rsid w:val="004C62BA"/>
    <w:rsid w:val="004C7484"/>
    <w:rsid w:val="004D7C4F"/>
    <w:rsid w:val="004E05CD"/>
    <w:rsid w:val="004E4A30"/>
    <w:rsid w:val="004E4E93"/>
    <w:rsid w:val="004F0DD5"/>
    <w:rsid w:val="004F6E21"/>
    <w:rsid w:val="004F7FCB"/>
    <w:rsid w:val="00513965"/>
    <w:rsid w:val="00516595"/>
    <w:rsid w:val="005227DB"/>
    <w:rsid w:val="00527589"/>
    <w:rsid w:val="00530F72"/>
    <w:rsid w:val="00533F2C"/>
    <w:rsid w:val="00536D22"/>
    <w:rsid w:val="0054273B"/>
    <w:rsid w:val="00551873"/>
    <w:rsid w:val="00555BCA"/>
    <w:rsid w:val="00555FCB"/>
    <w:rsid w:val="00570B43"/>
    <w:rsid w:val="00574A28"/>
    <w:rsid w:val="00580B71"/>
    <w:rsid w:val="00591D7B"/>
    <w:rsid w:val="00593D36"/>
    <w:rsid w:val="00596479"/>
    <w:rsid w:val="005A3F82"/>
    <w:rsid w:val="005B162F"/>
    <w:rsid w:val="005B3F44"/>
    <w:rsid w:val="005B45C5"/>
    <w:rsid w:val="005C1145"/>
    <w:rsid w:val="005C2DDC"/>
    <w:rsid w:val="005C34F4"/>
    <w:rsid w:val="005D3C78"/>
    <w:rsid w:val="005D6282"/>
    <w:rsid w:val="005E5207"/>
    <w:rsid w:val="005F1A17"/>
    <w:rsid w:val="005F69AC"/>
    <w:rsid w:val="006032A0"/>
    <w:rsid w:val="00603EDF"/>
    <w:rsid w:val="0060711A"/>
    <w:rsid w:val="0061603F"/>
    <w:rsid w:val="00620608"/>
    <w:rsid w:val="00625C81"/>
    <w:rsid w:val="00630914"/>
    <w:rsid w:val="00640EA3"/>
    <w:rsid w:val="006476BC"/>
    <w:rsid w:val="00652BA7"/>
    <w:rsid w:val="00664111"/>
    <w:rsid w:val="00677315"/>
    <w:rsid w:val="006810C1"/>
    <w:rsid w:val="006840FF"/>
    <w:rsid w:val="00694E4B"/>
    <w:rsid w:val="006A4CEC"/>
    <w:rsid w:val="006C463E"/>
    <w:rsid w:val="006C48E5"/>
    <w:rsid w:val="006C684A"/>
    <w:rsid w:val="006D061F"/>
    <w:rsid w:val="006D7AF2"/>
    <w:rsid w:val="006E54BB"/>
    <w:rsid w:val="007078DB"/>
    <w:rsid w:val="00717342"/>
    <w:rsid w:val="0072190D"/>
    <w:rsid w:val="0072317E"/>
    <w:rsid w:val="007450D1"/>
    <w:rsid w:val="00746113"/>
    <w:rsid w:val="00753483"/>
    <w:rsid w:val="00761F27"/>
    <w:rsid w:val="00770195"/>
    <w:rsid w:val="0077423D"/>
    <w:rsid w:val="007815DD"/>
    <w:rsid w:val="007917B3"/>
    <w:rsid w:val="007923C8"/>
    <w:rsid w:val="00794927"/>
    <w:rsid w:val="007A62C6"/>
    <w:rsid w:val="007A69C9"/>
    <w:rsid w:val="007B7F48"/>
    <w:rsid w:val="007D3566"/>
    <w:rsid w:val="007D775C"/>
    <w:rsid w:val="007E1072"/>
    <w:rsid w:val="007E185D"/>
    <w:rsid w:val="007E4073"/>
    <w:rsid w:val="007E60B6"/>
    <w:rsid w:val="00802947"/>
    <w:rsid w:val="00823CBB"/>
    <w:rsid w:val="0082499B"/>
    <w:rsid w:val="00825E51"/>
    <w:rsid w:val="00831F8F"/>
    <w:rsid w:val="00832399"/>
    <w:rsid w:val="00834520"/>
    <w:rsid w:val="0083547E"/>
    <w:rsid w:val="00840ADA"/>
    <w:rsid w:val="00841A99"/>
    <w:rsid w:val="008437D8"/>
    <w:rsid w:val="008501DB"/>
    <w:rsid w:val="00861AFD"/>
    <w:rsid w:val="0086549D"/>
    <w:rsid w:val="00872141"/>
    <w:rsid w:val="0088150B"/>
    <w:rsid w:val="0088550D"/>
    <w:rsid w:val="0088651D"/>
    <w:rsid w:val="0088692F"/>
    <w:rsid w:val="00895119"/>
    <w:rsid w:val="00896BA4"/>
    <w:rsid w:val="008A78E9"/>
    <w:rsid w:val="008B2BED"/>
    <w:rsid w:val="008C3D63"/>
    <w:rsid w:val="008C5C0A"/>
    <w:rsid w:val="008E5570"/>
    <w:rsid w:val="008E7892"/>
    <w:rsid w:val="008F5C73"/>
    <w:rsid w:val="00901E66"/>
    <w:rsid w:val="00912FCC"/>
    <w:rsid w:val="00915565"/>
    <w:rsid w:val="00921DC6"/>
    <w:rsid w:val="00924D71"/>
    <w:rsid w:val="0093164D"/>
    <w:rsid w:val="00951701"/>
    <w:rsid w:val="009536E0"/>
    <w:rsid w:val="00956CEE"/>
    <w:rsid w:val="00956DC5"/>
    <w:rsid w:val="00972299"/>
    <w:rsid w:val="00982014"/>
    <w:rsid w:val="00996879"/>
    <w:rsid w:val="00997FCE"/>
    <w:rsid w:val="009A4C73"/>
    <w:rsid w:val="009D083E"/>
    <w:rsid w:val="009D116C"/>
    <w:rsid w:val="009D504B"/>
    <w:rsid w:val="009D537C"/>
    <w:rsid w:val="009D6FE0"/>
    <w:rsid w:val="009E32F5"/>
    <w:rsid w:val="009E5203"/>
    <w:rsid w:val="009E53E9"/>
    <w:rsid w:val="009E7BDD"/>
    <w:rsid w:val="00A006EB"/>
    <w:rsid w:val="00A06F43"/>
    <w:rsid w:val="00A07439"/>
    <w:rsid w:val="00A07B97"/>
    <w:rsid w:val="00A12AAC"/>
    <w:rsid w:val="00A17212"/>
    <w:rsid w:val="00A174A1"/>
    <w:rsid w:val="00A205F3"/>
    <w:rsid w:val="00A34E3D"/>
    <w:rsid w:val="00A45C61"/>
    <w:rsid w:val="00A514C6"/>
    <w:rsid w:val="00A54360"/>
    <w:rsid w:val="00A64426"/>
    <w:rsid w:val="00A71034"/>
    <w:rsid w:val="00A83A30"/>
    <w:rsid w:val="00A8583D"/>
    <w:rsid w:val="00A903DA"/>
    <w:rsid w:val="00A907D8"/>
    <w:rsid w:val="00A92380"/>
    <w:rsid w:val="00AA410E"/>
    <w:rsid w:val="00AE416A"/>
    <w:rsid w:val="00AE48C9"/>
    <w:rsid w:val="00AE4C13"/>
    <w:rsid w:val="00AF5BBF"/>
    <w:rsid w:val="00B023E8"/>
    <w:rsid w:val="00B03754"/>
    <w:rsid w:val="00B071E7"/>
    <w:rsid w:val="00B12A60"/>
    <w:rsid w:val="00B16F9D"/>
    <w:rsid w:val="00B32D97"/>
    <w:rsid w:val="00B36F93"/>
    <w:rsid w:val="00B46337"/>
    <w:rsid w:val="00B500A4"/>
    <w:rsid w:val="00B53C98"/>
    <w:rsid w:val="00B57322"/>
    <w:rsid w:val="00B63320"/>
    <w:rsid w:val="00B67A2E"/>
    <w:rsid w:val="00B77014"/>
    <w:rsid w:val="00B80439"/>
    <w:rsid w:val="00B92373"/>
    <w:rsid w:val="00B94919"/>
    <w:rsid w:val="00B95A7A"/>
    <w:rsid w:val="00BA4D1C"/>
    <w:rsid w:val="00BB7413"/>
    <w:rsid w:val="00BC1B0F"/>
    <w:rsid w:val="00BD6D5E"/>
    <w:rsid w:val="00BF1101"/>
    <w:rsid w:val="00BF27A5"/>
    <w:rsid w:val="00C102E8"/>
    <w:rsid w:val="00C12C0E"/>
    <w:rsid w:val="00C14AC9"/>
    <w:rsid w:val="00C17924"/>
    <w:rsid w:val="00C22EDD"/>
    <w:rsid w:val="00C33BB8"/>
    <w:rsid w:val="00C53B6C"/>
    <w:rsid w:val="00C610FA"/>
    <w:rsid w:val="00C62006"/>
    <w:rsid w:val="00C63DE0"/>
    <w:rsid w:val="00C66D8E"/>
    <w:rsid w:val="00C8533F"/>
    <w:rsid w:val="00C85B84"/>
    <w:rsid w:val="00C954C5"/>
    <w:rsid w:val="00C9752B"/>
    <w:rsid w:val="00CA228E"/>
    <w:rsid w:val="00CA284C"/>
    <w:rsid w:val="00CA3285"/>
    <w:rsid w:val="00CA628E"/>
    <w:rsid w:val="00CB20C5"/>
    <w:rsid w:val="00CB26D0"/>
    <w:rsid w:val="00CC09AC"/>
    <w:rsid w:val="00CD1D0D"/>
    <w:rsid w:val="00CD5079"/>
    <w:rsid w:val="00CE2DDD"/>
    <w:rsid w:val="00CE45FA"/>
    <w:rsid w:val="00CE4E2B"/>
    <w:rsid w:val="00CF22E4"/>
    <w:rsid w:val="00D03A5C"/>
    <w:rsid w:val="00D03DAF"/>
    <w:rsid w:val="00D05234"/>
    <w:rsid w:val="00D05DEC"/>
    <w:rsid w:val="00D2110B"/>
    <w:rsid w:val="00D46739"/>
    <w:rsid w:val="00D66AF8"/>
    <w:rsid w:val="00D67349"/>
    <w:rsid w:val="00D67AA9"/>
    <w:rsid w:val="00D73EB6"/>
    <w:rsid w:val="00D80248"/>
    <w:rsid w:val="00D84159"/>
    <w:rsid w:val="00D84214"/>
    <w:rsid w:val="00D84275"/>
    <w:rsid w:val="00D84464"/>
    <w:rsid w:val="00D93C5F"/>
    <w:rsid w:val="00DA22FD"/>
    <w:rsid w:val="00DB69F5"/>
    <w:rsid w:val="00DD15C0"/>
    <w:rsid w:val="00DD5D1D"/>
    <w:rsid w:val="00DE04CE"/>
    <w:rsid w:val="00DE335C"/>
    <w:rsid w:val="00DF13DF"/>
    <w:rsid w:val="00E01078"/>
    <w:rsid w:val="00E025A0"/>
    <w:rsid w:val="00E03C46"/>
    <w:rsid w:val="00E41310"/>
    <w:rsid w:val="00E43E79"/>
    <w:rsid w:val="00E44835"/>
    <w:rsid w:val="00E54858"/>
    <w:rsid w:val="00E60234"/>
    <w:rsid w:val="00E92768"/>
    <w:rsid w:val="00E93AC5"/>
    <w:rsid w:val="00EB06B8"/>
    <w:rsid w:val="00EB2532"/>
    <w:rsid w:val="00EB7176"/>
    <w:rsid w:val="00EC677C"/>
    <w:rsid w:val="00EE285D"/>
    <w:rsid w:val="00F1102F"/>
    <w:rsid w:val="00F171C9"/>
    <w:rsid w:val="00F24904"/>
    <w:rsid w:val="00F3281B"/>
    <w:rsid w:val="00F35DB8"/>
    <w:rsid w:val="00F35F08"/>
    <w:rsid w:val="00F4155F"/>
    <w:rsid w:val="00F47821"/>
    <w:rsid w:val="00F57BCB"/>
    <w:rsid w:val="00F57CF6"/>
    <w:rsid w:val="00F616CD"/>
    <w:rsid w:val="00F648CD"/>
    <w:rsid w:val="00F65059"/>
    <w:rsid w:val="00F826C0"/>
    <w:rsid w:val="00F869B1"/>
    <w:rsid w:val="00F951F9"/>
    <w:rsid w:val="00FA332E"/>
    <w:rsid w:val="00FA5F40"/>
    <w:rsid w:val="00FA6C80"/>
    <w:rsid w:val="00FB1050"/>
    <w:rsid w:val="00FB4AEB"/>
    <w:rsid w:val="00FC4A42"/>
    <w:rsid w:val="00FC4E7D"/>
    <w:rsid w:val="00FC5590"/>
    <w:rsid w:val="00FE45FC"/>
    <w:rsid w:val="00FE50DA"/>
    <w:rsid w:val="01625DCF"/>
    <w:rsid w:val="15BA12CC"/>
    <w:rsid w:val="2EEBC550"/>
    <w:rsid w:val="3DFAF5E2"/>
    <w:rsid w:val="46ED6FCB"/>
    <w:rsid w:val="5FFB21EE"/>
    <w:rsid w:val="6F485572"/>
    <w:rsid w:val="72B3F754"/>
    <w:rsid w:val="737BAB44"/>
    <w:rsid w:val="76629BAC"/>
    <w:rsid w:val="796BA424"/>
    <w:rsid w:val="7BFBD72E"/>
    <w:rsid w:val="7C5F6D3C"/>
    <w:rsid w:val="7EAB8523"/>
    <w:rsid w:val="7F3B5D30"/>
    <w:rsid w:val="7FFB7C43"/>
    <w:rsid w:val="939D8CC5"/>
    <w:rsid w:val="D17369C6"/>
    <w:rsid w:val="DFDF3BE4"/>
    <w:rsid w:val="DFFF8623"/>
    <w:rsid w:val="EBD9F387"/>
    <w:rsid w:val="EBF6FFCD"/>
    <w:rsid w:val="EEDF3A0A"/>
    <w:rsid w:val="F3F79BD4"/>
    <w:rsid w:val="F53FD2D3"/>
    <w:rsid w:val="FEFD7594"/>
    <w:rsid w:val="FEFD8788"/>
    <w:rsid w:val="FEFE45B1"/>
    <w:rsid w:val="FF7F3512"/>
    <w:rsid w:val="FFDFD7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79" w:lineRule="exact"/>
      <w:ind w:firstLine="200" w:firstLineChars="200"/>
      <w:jc w:val="both"/>
    </w:pPr>
    <w:rPr>
      <w:rFonts w:ascii="Times New Roman" w:hAnsi="Times New Roman" w:eastAsia="仿宋_GB2312" w:cs="Times New Roman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line="360" w:lineRule="auto"/>
      <w:ind w:firstLine="0" w:firstLineChars="0"/>
      <w:jc w:val="center"/>
      <w:outlineLvl w:val="0"/>
    </w:pPr>
    <w:rPr>
      <w:rFonts w:ascii="方正小标宋简体" w:hAnsi="方正小标宋简体" w:eastAsia="方正小标宋简体"/>
      <w:bCs/>
      <w:kern w:val="44"/>
      <w:sz w:val="44"/>
      <w:szCs w:val="44"/>
    </w:rPr>
  </w:style>
  <w:style w:type="paragraph" w:styleId="3">
    <w:name w:val="heading 2"/>
    <w:next w:val="1"/>
    <w:link w:val="22"/>
    <w:unhideWhenUsed/>
    <w:qFormat/>
    <w:uiPriority w:val="9"/>
    <w:pPr>
      <w:keepNext/>
      <w:adjustRightInd w:val="0"/>
      <w:spacing w:line="560" w:lineRule="exact"/>
      <w:ind w:firstLine="640" w:firstLineChars="200"/>
      <w:outlineLvl w:val="1"/>
    </w:pPr>
    <w:rPr>
      <w:rFonts w:ascii="黑体" w:hAnsi="黑体" w:eastAsia="黑体" w:cstheme="majorBidi"/>
      <w:bCs/>
      <w:kern w:val="2"/>
      <w:sz w:val="32"/>
      <w:szCs w:val="28"/>
      <w:lang w:val="en-US" w:eastAsia="zh-CN" w:bidi="ar-SA"/>
    </w:rPr>
  </w:style>
  <w:style w:type="paragraph" w:styleId="4">
    <w:name w:val="heading 3"/>
    <w:basedOn w:val="1"/>
    <w:next w:val="1"/>
    <w:link w:val="23"/>
    <w:unhideWhenUsed/>
    <w:qFormat/>
    <w:uiPriority w:val="9"/>
    <w:pPr>
      <w:spacing w:line="240" w:lineRule="auto"/>
      <w:ind w:firstLine="0" w:firstLineChars="0"/>
      <w:outlineLvl w:val="2"/>
    </w:pPr>
    <w:rPr>
      <w:rFonts w:ascii="楷体" w:hAnsi="楷体" w:eastAsia="宋体"/>
      <w:b/>
      <w:bCs/>
      <w:kern w:val="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7"/>
    <w:semiHidden/>
    <w:unhideWhenUsed/>
    <w:qFormat/>
    <w:uiPriority w:val="99"/>
    <w:pPr>
      <w:jc w:val="left"/>
    </w:pPr>
  </w:style>
  <w:style w:type="paragraph" w:styleId="6">
    <w:name w:val="Body Text"/>
    <w:basedOn w:val="1"/>
    <w:link w:val="39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link w:val="35"/>
    <w:qFormat/>
    <w:uiPriority w:val="0"/>
    <w:pPr>
      <w:adjustRightInd/>
      <w:spacing w:line="240" w:lineRule="auto"/>
      <w:ind w:firstLine="420" w:firstLineChars="0"/>
    </w:pPr>
    <w:rPr>
      <w:rFonts w:ascii="宋体" w:eastAsia="宋体"/>
      <w:kern w:val="2"/>
      <w:sz w:val="21"/>
      <w:szCs w:val="20"/>
    </w:rPr>
  </w:style>
  <w:style w:type="paragraph" w:styleId="8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9">
    <w:name w:val="endnote text"/>
    <w:basedOn w:val="1"/>
    <w:link w:val="29"/>
    <w:semiHidden/>
    <w:unhideWhenUsed/>
    <w:qFormat/>
    <w:uiPriority w:val="99"/>
    <w:pPr>
      <w:snapToGrid w:val="0"/>
      <w:jc w:val="left"/>
    </w:pPr>
  </w:style>
  <w:style w:type="paragraph" w:styleId="10">
    <w:name w:val="Balloon Text"/>
    <w:basedOn w:val="1"/>
    <w:link w:val="3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1">
    <w:name w:val="footer"/>
    <w:basedOn w:val="1"/>
    <w:link w:val="27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2"/>
    <w:qFormat/>
    <w:uiPriority w:val="11"/>
    <w:pPr>
      <w:spacing w:before="240" w:after="60" w:line="312" w:lineRule="atLeast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Cs w:val="32"/>
    </w:rPr>
  </w:style>
  <w:style w:type="paragraph" w:styleId="14">
    <w:name w:val="annotation subject"/>
    <w:basedOn w:val="5"/>
    <w:next w:val="5"/>
    <w:link w:val="38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endnote reference"/>
    <w:basedOn w:val="17"/>
    <w:semiHidden/>
    <w:unhideWhenUsed/>
    <w:qFormat/>
    <w:uiPriority w:val="99"/>
    <w:rPr>
      <w:vertAlign w:val="superscript"/>
    </w:rPr>
  </w:style>
  <w:style w:type="character" w:styleId="19">
    <w:name w:val="page number"/>
    <w:basedOn w:val="17"/>
    <w:qFormat/>
    <w:uiPriority w:val="0"/>
  </w:style>
  <w:style w:type="character" w:styleId="20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1">
    <w:name w:val="标题 1 字符"/>
    <w:link w:val="2"/>
    <w:qFormat/>
    <w:uiPriority w:val="9"/>
    <w:rPr>
      <w:rFonts w:ascii="方正小标宋简体" w:hAnsi="方正小标宋简体" w:eastAsia="方正小标宋简体" w:cs="Times New Roman"/>
      <w:bCs/>
      <w:kern w:val="44"/>
      <w:sz w:val="44"/>
      <w:szCs w:val="44"/>
    </w:rPr>
  </w:style>
  <w:style w:type="character" w:customStyle="1" w:styleId="22">
    <w:name w:val="标题 2 字符"/>
    <w:basedOn w:val="17"/>
    <w:link w:val="3"/>
    <w:qFormat/>
    <w:uiPriority w:val="9"/>
    <w:rPr>
      <w:rFonts w:ascii="黑体" w:hAnsi="黑体" w:eastAsia="黑体" w:cstheme="majorBidi"/>
      <w:bCs/>
      <w:sz w:val="32"/>
      <w:szCs w:val="28"/>
    </w:rPr>
  </w:style>
  <w:style w:type="character" w:customStyle="1" w:styleId="23">
    <w:name w:val="标题 3 字符"/>
    <w:basedOn w:val="17"/>
    <w:link w:val="4"/>
    <w:qFormat/>
    <w:uiPriority w:val="9"/>
    <w:rPr>
      <w:rFonts w:ascii="楷体" w:hAnsi="楷体" w:eastAsia="宋体" w:cs="Times New Roman"/>
      <w:b/>
      <w:bCs/>
      <w:sz w:val="28"/>
      <w:szCs w:val="32"/>
    </w:rPr>
  </w:style>
  <w:style w:type="paragraph" w:customStyle="1" w:styleId="24">
    <w:name w:val="附件"/>
    <w:basedOn w:val="1"/>
    <w:next w:val="1"/>
    <w:link w:val="25"/>
    <w:qFormat/>
    <w:uiPriority w:val="0"/>
    <w:pPr>
      <w:jc w:val="left"/>
      <w:outlineLvl w:val="1"/>
    </w:pPr>
    <w:rPr>
      <w:rFonts w:ascii="黑体" w:hAnsi="黑体" w:eastAsia="黑体"/>
    </w:rPr>
  </w:style>
  <w:style w:type="character" w:customStyle="1" w:styleId="25">
    <w:name w:val="附件 字符"/>
    <w:basedOn w:val="17"/>
    <w:link w:val="24"/>
    <w:qFormat/>
    <w:uiPriority w:val="0"/>
    <w:rPr>
      <w:rFonts w:ascii="黑体" w:hAnsi="黑体" w:eastAsia="黑体" w:cs="Times New Roman"/>
      <w:kern w:val="0"/>
      <w:sz w:val="32"/>
      <w:szCs w:val="24"/>
    </w:rPr>
  </w:style>
  <w:style w:type="character" w:customStyle="1" w:styleId="26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7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8">
    <w:name w:val="日期 字符"/>
    <w:basedOn w:val="17"/>
    <w:link w:val="8"/>
    <w:semiHidden/>
    <w:qFormat/>
    <w:uiPriority w:val="99"/>
    <w:rPr>
      <w:rFonts w:ascii="Times New Roman" w:hAnsi="Times New Roman" w:eastAsia="仿宋_GB2312" w:cs="Times New Roman"/>
      <w:kern w:val="0"/>
      <w:sz w:val="32"/>
      <w:szCs w:val="24"/>
    </w:rPr>
  </w:style>
  <w:style w:type="character" w:customStyle="1" w:styleId="29">
    <w:name w:val="尾注文本 字符"/>
    <w:basedOn w:val="17"/>
    <w:link w:val="9"/>
    <w:semiHidden/>
    <w:qFormat/>
    <w:uiPriority w:val="99"/>
    <w:rPr>
      <w:rFonts w:ascii="Times New Roman" w:hAnsi="Times New Roman" w:eastAsia="仿宋_GB2312" w:cs="Times New Roman"/>
      <w:kern w:val="0"/>
      <w:sz w:val="32"/>
      <w:szCs w:val="24"/>
    </w:rPr>
  </w:style>
  <w:style w:type="paragraph" w:customStyle="1" w:styleId="30">
    <w:name w:val="表格正文"/>
    <w:basedOn w:val="1"/>
    <w:link w:val="31"/>
    <w:qFormat/>
    <w:uiPriority w:val="0"/>
    <w:pPr>
      <w:snapToGrid w:val="0"/>
      <w:spacing w:line="240" w:lineRule="auto"/>
      <w:ind w:firstLine="0" w:firstLineChars="0"/>
      <w:jc w:val="center"/>
    </w:pPr>
    <w:rPr>
      <w:rFonts w:eastAsia="宋体"/>
    </w:rPr>
  </w:style>
  <w:style w:type="character" w:customStyle="1" w:styleId="31">
    <w:name w:val="表格正文 字符"/>
    <w:basedOn w:val="17"/>
    <w:link w:val="30"/>
    <w:qFormat/>
    <w:uiPriority w:val="0"/>
    <w:rPr>
      <w:rFonts w:ascii="Times New Roman" w:hAnsi="Times New Roman" w:eastAsia="宋体" w:cs="Times New Roman"/>
      <w:kern w:val="0"/>
      <w:sz w:val="28"/>
      <w:szCs w:val="24"/>
    </w:rPr>
  </w:style>
  <w:style w:type="character" w:customStyle="1" w:styleId="32">
    <w:name w:val="副标题 字符"/>
    <w:basedOn w:val="17"/>
    <w:link w:val="13"/>
    <w:qFormat/>
    <w:uiPriority w:val="11"/>
    <w:rPr>
      <w:b/>
      <w:bCs/>
      <w:kern w:val="28"/>
      <w:sz w:val="32"/>
      <w:szCs w:val="32"/>
    </w:rPr>
  </w:style>
  <w:style w:type="paragraph" w:styleId="33">
    <w:name w:val="No Spacing"/>
    <w:qFormat/>
    <w:uiPriority w:val="1"/>
    <w:pPr>
      <w:widowControl w:val="0"/>
      <w:adjustRightInd w:val="0"/>
      <w:snapToGrid w:val="0"/>
      <w:jc w:val="center"/>
    </w:pPr>
    <w:rPr>
      <w:rFonts w:ascii="Times New Roman" w:hAnsi="Times New Roman" w:eastAsia="仿宋_GB2312" w:cs="Times New Roman"/>
      <w:sz w:val="32"/>
      <w:szCs w:val="24"/>
      <w:lang w:val="en-US" w:eastAsia="zh-CN" w:bidi="ar-SA"/>
    </w:rPr>
  </w:style>
  <w:style w:type="character" w:customStyle="1" w:styleId="34">
    <w:name w:val="批注框文本 字符"/>
    <w:basedOn w:val="17"/>
    <w:link w:val="10"/>
    <w:semiHidden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35">
    <w:name w:val="正文文本缩进 字符"/>
    <w:basedOn w:val="17"/>
    <w:link w:val="7"/>
    <w:qFormat/>
    <w:uiPriority w:val="0"/>
    <w:rPr>
      <w:rFonts w:ascii="宋体" w:hAnsi="Times New Roman" w:eastAsia="宋体" w:cs="Times New Roman"/>
      <w:szCs w:val="20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7">
    <w:name w:val="批注文字 字符"/>
    <w:basedOn w:val="17"/>
    <w:link w:val="5"/>
    <w:semiHidden/>
    <w:qFormat/>
    <w:uiPriority w:val="99"/>
    <w:rPr>
      <w:rFonts w:ascii="Times New Roman" w:hAnsi="Times New Roman" w:eastAsia="仿宋_GB2312" w:cs="Times New Roman"/>
      <w:kern w:val="0"/>
      <w:sz w:val="28"/>
      <w:szCs w:val="24"/>
    </w:rPr>
  </w:style>
  <w:style w:type="character" w:customStyle="1" w:styleId="38">
    <w:name w:val="批注主题 字符"/>
    <w:basedOn w:val="37"/>
    <w:link w:val="14"/>
    <w:semiHidden/>
    <w:qFormat/>
    <w:uiPriority w:val="99"/>
    <w:rPr>
      <w:rFonts w:ascii="Times New Roman" w:hAnsi="Times New Roman" w:eastAsia="仿宋_GB2312" w:cs="Times New Roman"/>
      <w:b/>
      <w:bCs/>
      <w:kern w:val="0"/>
      <w:sz w:val="28"/>
      <w:szCs w:val="24"/>
    </w:rPr>
  </w:style>
  <w:style w:type="character" w:customStyle="1" w:styleId="39">
    <w:name w:val="正文文本 字符"/>
    <w:basedOn w:val="17"/>
    <w:link w:val="6"/>
    <w:semiHidden/>
    <w:qFormat/>
    <w:uiPriority w:val="99"/>
    <w:rPr>
      <w:rFonts w:ascii="Times New Roman" w:hAnsi="Times New Roman" w:eastAsia="仿宋_GB2312" w:cs="Times New Roman"/>
      <w:kern w:val="0"/>
      <w:sz w:val="28"/>
      <w:szCs w:val="24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仿宋_GB2312" w:cs="Times New Roman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231</Words>
  <Characters>1320</Characters>
  <Lines>11</Lines>
  <Paragraphs>3</Paragraphs>
  <TotalTime>3</TotalTime>
  <ScaleCrop>false</ScaleCrop>
  <LinksUpToDate>false</LinksUpToDate>
  <CharactersWithSpaces>1548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2019-09-22T23:12:00Z</dcterms:created>
  <dc:creator>wang shu</dc:creator>
  <cp:lastModifiedBy>王朝博</cp:lastModifiedBy>
  <cp:lastPrinted>2019-10-02T06:57:00Z</cp:lastPrinted>
  <dcterms:modified xsi:type="dcterms:W3CDTF">2026-01-12T08:53:28Z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3B424C95681941B394FDC1AC0FF0BE5F</vt:lpwstr>
  </property>
</Properties>
</file>