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38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635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36"/>
          <w:szCs w:val="36"/>
        </w:rPr>
        <w:t>2023年度行政事业性国有资产报告填报说明提纲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664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4"/>
          <w:sz w:val="32"/>
          <w:szCs w:val="32"/>
        </w:rPr>
        <w:t>一、数据填报口径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本地区、本部门应纳入2023年度行政事业性国有资产报表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以下简称资产报表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填报范围的行政事业单位共XX个，实际上报单位XX个。说明未上报单位原因。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105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二 、数据审核情况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105" w:firstLine="659"/>
        <w:jc w:val="both"/>
        <w:textAlignment w:val="baseline"/>
        <w:rPr>
          <w:rFonts w:hint="eastAsia" w:ascii="楷体_GB2312" w:hAnsi="楷体_GB2312" w:eastAsia="楷体_GB2312" w:cs="楷体_GB2312"/>
          <w:spacing w:val="7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审核情况。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1.核实性审核。本地区、本部门全表审核后核实性问题提示共 XX 条，涉及 XX 个单位，说明主要原因。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2.基础数据审核。本地区、本部门资产数据与上年对比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增减超过20%且&gt;±100万元的，说明主要原因。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3.与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区直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部门所属企业名录对比审核。对外投资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情况表中被投资单位与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区直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部门所属企业名录是否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一致，若有差异说明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4.与政府部门财务报告对比审核。本地区、本部门报送资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产报表的单位中，有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个单位未纳入政府部门财务报告；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本地区、本部门政府部门财务报告的行政事业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不含企业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化管理事业单位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个未报送资产报表，说明主要原因。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5.与部门决算对比审核。本地区、本部门资产报表中房屋、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车辆、单价100万元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以上的设备等重点资产，与部门决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算相关数据对比，若有差异说明原因。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对报表指标、审核公式和分析表的设置建议。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105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1.对资产报表指标设置的建议。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2.如有不适用的审核公式，列出并说明修改意见。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5" w:rightChars="0" w:firstLine="65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3.对本地区、本部门自行增加的审核公式，列出并说明设置依据。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105" w:firstLine="659"/>
        <w:jc w:val="both"/>
        <w:textAlignment w:val="baseline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三、其他需要说明的重要事项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对本地区、本部门资产损失、权属不清晰等重要资产情况以及其他重要事项进行详细分析说明。</w:t>
      </w:r>
    </w:p>
    <w:p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本地区、本部门公共基础设施、政府储备物资、文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物文化资产、保障性住房数据与行业统计数据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的对比情况，如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不一致应说明差异原因。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2ZlY2I5YzdlZDlkMmE0ZGFiYTI4YmNmZTUyZGMifQ=="/>
  </w:docVars>
  <w:rsids>
    <w:rsidRoot w:val="00000000"/>
    <w:rsid w:val="70D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2024-01-04T07:38:38Z</dcterms:created>
  <dc:creator>lyl</dc:creator>
  <cp:lastModifiedBy>lyl</cp:lastModifiedBy>
  <dcterms:modified xsi:type="dcterms:W3CDTF">2024-01-04T07:41:28Z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0A23160164BF444CADFF61BB37F51A63_12</vt:lpwstr>
  </property>
</Properties>
</file>