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5" w:type="dxa"/>
        <w:tblInd w:w="93" w:type="dxa"/>
        <w:tblCellMar>
          <w:top w:w="15" w:type="dxa"/>
          <w:left w:w="15" w:type="dxa"/>
          <w:bottom w:w="15" w:type="dxa"/>
          <w:right w:w="15" w:type="dxa"/>
        </w:tblCellMar>
        <w:tblLook w:val="04A0" w:firstRow="1" w:lastRow="0" w:firstColumn="1" w:lastColumn="0" w:noHBand="0" w:noVBand="1"/>
      </w:tblPr>
      <w:tblGrid>
        <w:gridCol w:w="185"/>
        <w:gridCol w:w="261"/>
        <w:gridCol w:w="184"/>
        <w:gridCol w:w="260"/>
        <w:gridCol w:w="5330"/>
        <w:gridCol w:w="2872"/>
        <w:gridCol w:w="3793"/>
        <w:gridCol w:w="260"/>
      </w:tblGrid>
      <w:tr w:rsidR="00DD1AB9" w:rsidTr="003F16DB">
        <w:trPr>
          <w:trHeight w:val="690"/>
        </w:trPr>
        <w:tc>
          <w:tcPr>
            <w:tcW w:w="9825" w:type="dxa"/>
            <w:gridSpan w:val="8"/>
            <w:tcBorders>
              <w:top w:val="nil"/>
              <w:left w:val="nil"/>
              <w:bottom w:val="single" w:sz="8" w:space="0" w:color="535353"/>
              <w:right w:val="nil"/>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24"/>
                <w:lang w:bidi="ar"/>
              </w:rPr>
              <w:t>2018年桂林市安全生产监督管理局应急救援演练预算经费项目财政支出预算绩效指标自评表</w:t>
            </w:r>
          </w:p>
        </w:tc>
      </w:tr>
      <w:tr w:rsidR="00DD1AB9" w:rsidTr="003F16DB">
        <w:trPr>
          <w:trHeight w:val="735"/>
        </w:trPr>
        <w:tc>
          <w:tcPr>
            <w:tcW w:w="559" w:type="dxa"/>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一级指标</w:t>
            </w:r>
          </w:p>
        </w:tc>
        <w:tc>
          <w:tcPr>
            <w:tcW w:w="560" w:type="dxa"/>
            <w:tcBorders>
              <w:top w:val="single" w:sz="8" w:space="0" w:color="535353"/>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分值</w:t>
            </w:r>
          </w:p>
        </w:tc>
        <w:tc>
          <w:tcPr>
            <w:tcW w:w="659" w:type="dxa"/>
            <w:tcBorders>
              <w:top w:val="single" w:sz="8" w:space="0" w:color="535353"/>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二级指标</w:t>
            </w:r>
          </w:p>
        </w:tc>
        <w:tc>
          <w:tcPr>
            <w:tcW w:w="527" w:type="dxa"/>
            <w:tcBorders>
              <w:top w:val="single" w:sz="8" w:space="0" w:color="535353"/>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分值</w:t>
            </w:r>
          </w:p>
        </w:tc>
        <w:tc>
          <w:tcPr>
            <w:tcW w:w="2223" w:type="dxa"/>
            <w:tcBorders>
              <w:top w:val="single" w:sz="8" w:space="0" w:color="535353"/>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指标内容</w:t>
            </w:r>
          </w:p>
        </w:tc>
        <w:tc>
          <w:tcPr>
            <w:tcW w:w="2140" w:type="dxa"/>
            <w:tcBorders>
              <w:top w:val="single" w:sz="8" w:space="0" w:color="535353"/>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指标值</w:t>
            </w:r>
          </w:p>
        </w:tc>
        <w:tc>
          <w:tcPr>
            <w:tcW w:w="2469" w:type="dxa"/>
            <w:tcBorders>
              <w:top w:val="single" w:sz="8" w:space="0" w:color="535353"/>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评分细则</w:t>
            </w:r>
          </w:p>
        </w:tc>
        <w:tc>
          <w:tcPr>
            <w:tcW w:w="688" w:type="dxa"/>
            <w:tcBorders>
              <w:top w:val="single" w:sz="8" w:space="0" w:color="535353"/>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b/>
                <w:bCs/>
                <w:color w:val="535353"/>
                <w:kern w:val="0"/>
                <w:sz w:val="18"/>
                <w:szCs w:val="18"/>
                <w:lang w:bidi="ar"/>
              </w:rPr>
              <w:t>自评分</w:t>
            </w:r>
          </w:p>
        </w:tc>
      </w:tr>
      <w:tr w:rsidR="00DD1AB9" w:rsidTr="003F16DB">
        <w:trPr>
          <w:trHeight w:val="780"/>
        </w:trPr>
        <w:tc>
          <w:tcPr>
            <w:tcW w:w="559" w:type="dxa"/>
            <w:vMerge w:val="restart"/>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投入指标</w:t>
            </w:r>
          </w:p>
        </w:tc>
        <w:tc>
          <w:tcPr>
            <w:tcW w:w="560" w:type="dxa"/>
            <w:vMerge w:val="restart"/>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20</w:t>
            </w:r>
          </w:p>
        </w:tc>
        <w:tc>
          <w:tcPr>
            <w:tcW w:w="659"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资金到位率</w:t>
            </w:r>
          </w:p>
        </w:tc>
        <w:tc>
          <w:tcPr>
            <w:tcW w:w="527"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资金到位率=（实际到位资金/计划投入资金）×100%。</w:t>
            </w:r>
          </w:p>
        </w:tc>
        <w:tc>
          <w:tcPr>
            <w:tcW w:w="2140"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资金到位率达100%</w:t>
            </w:r>
          </w:p>
        </w:tc>
        <w:tc>
          <w:tcPr>
            <w:tcW w:w="2469"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到位率100%得5分，每少10个百分点以内扣1分，扣完为止。</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72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预算支出进度</w:t>
            </w:r>
          </w:p>
        </w:tc>
        <w:tc>
          <w:tcPr>
            <w:tcW w:w="527"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15</w:t>
            </w:r>
          </w:p>
        </w:tc>
        <w:tc>
          <w:tcPr>
            <w:tcW w:w="2223"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预算支出进度是否达到90%以上。</w:t>
            </w:r>
          </w:p>
        </w:tc>
        <w:tc>
          <w:tcPr>
            <w:tcW w:w="2140"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预算支出进度达到90%以上</w:t>
            </w:r>
          </w:p>
        </w:tc>
        <w:tc>
          <w:tcPr>
            <w:tcW w:w="2469" w:type="dxa"/>
            <w:tcBorders>
              <w:top w:val="nil"/>
              <w:left w:val="nil"/>
              <w:bottom w:val="single" w:sz="8" w:space="0" w:color="535353"/>
              <w:right w:val="single" w:sz="8" w:space="0" w:color="535353"/>
            </w:tcBorders>
            <w:shd w:val="clear" w:color="auto" w:fill="FFFFFF"/>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预算支出进度达到90%以上（含90%）得15分,每少1个百分点扣1分，扣完为止。</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15</w:t>
            </w:r>
          </w:p>
        </w:tc>
      </w:tr>
      <w:tr w:rsidR="00DD1AB9" w:rsidTr="003F16DB">
        <w:trPr>
          <w:trHeight w:val="1060"/>
        </w:trPr>
        <w:tc>
          <w:tcPr>
            <w:tcW w:w="559" w:type="dxa"/>
            <w:vMerge w:val="restart"/>
            <w:tcBorders>
              <w:top w:val="nil"/>
              <w:left w:val="single" w:sz="8" w:space="0" w:color="535353"/>
              <w:bottom w:val="nil"/>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过程指标</w:t>
            </w:r>
          </w:p>
        </w:tc>
        <w:tc>
          <w:tcPr>
            <w:tcW w:w="560" w:type="dxa"/>
            <w:vMerge w:val="restart"/>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40</w:t>
            </w: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项目资金专项核算</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专项资金是否按《行政单位财务规则》和《事业单位财务规则》专款专用，专项核算。</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专项资金必须按《行政单位财务规则》和《事业单位财务规则》专款专用，专项核算</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专项资金按《行政单位财务规则》和《事业单位财务规则》专款专用2分，专项核算得3分，否则0分。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2620"/>
        </w:trPr>
        <w:tc>
          <w:tcPr>
            <w:tcW w:w="559" w:type="dxa"/>
            <w:vMerge/>
            <w:tcBorders>
              <w:top w:val="nil"/>
              <w:left w:val="single" w:sz="8" w:space="0" w:color="535353"/>
              <w:bottom w:val="nil"/>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资金使用合</w:t>
            </w:r>
            <w:proofErr w:type="gramStart"/>
            <w:r>
              <w:rPr>
                <w:rFonts w:ascii="宋体" w:eastAsia="宋体" w:hAnsi="宋体" w:cs="宋体" w:hint="eastAsia"/>
                <w:color w:val="535353"/>
                <w:kern w:val="0"/>
                <w:sz w:val="18"/>
                <w:szCs w:val="18"/>
                <w:lang w:bidi="ar"/>
              </w:rPr>
              <w:t>规</w:t>
            </w:r>
            <w:proofErr w:type="gramEnd"/>
            <w:r>
              <w:rPr>
                <w:rFonts w:ascii="宋体" w:eastAsia="宋体" w:hAnsi="宋体" w:cs="宋体" w:hint="eastAsia"/>
                <w:color w:val="535353"/>
                <w:kern w:val="0"/>
                <w:sz w:val="18"/>
                <w:szCs w:val="18"/>
                <w:lang w:bidi="ar"/>
              </w:rPr>
              <w:t>性</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①是否符合国家财经法规和财务管理制度以及有关专项资金管理办法的规定；</w:t>
            </w:r>
            <w:r>
              <w:rPr>
                <w:rFonts w:ascii="宋体" w:eastAsia="宋体" w:hAnsi="宋体" w:cs="宋体" w:hint="eastAsia"/>
                <w:color w:val="535353"/>
                <w:kern w:val="0"/>
                <w:sz w:val="18"/>
                <w:szCs w:val="18"/>
                <w:lang w:bidi="ar"/>
              </w:rPr>
              <w:br/>
              <w:t>②资金的拨付是否有完整的审批程序和手续；</w:t>
            </w:r>
            <w:r>
              <w:rPr>
                <w:rFonts w:ascii="宋体" w:eastAsia="宋体" w:hAnsi="宋体" w:cs="宋体" w:hint="eastAsia"/>
                <w:color w:val="535353"/>
                <w:kern w:val="0"/>
                <w:sz w:val="18"/>
                <w:szCs w:val="18"/>
                <w:lang w:bidi="ar"/>
              </w:rPr>
              <w:br/>
              <w:t>③是否符合项目预算批复或合同规定的用途；</w:t>
            </w:r>
            <w:r>
              <w:rPr>
                <w:rFonts w:ascii="宋体" w:eastAsia="宋体" w:hAnsi="宋体" w:cs="宋体" w:hint="eastAsia"/>
                <w:color w:val="535353"/>
                <w:kern w:val="0"/>
                <w:sz w:val="18"/>
                <w:szCs w:val="18"/>
                <w:lang w:bidi="ar"/>
              </w:rPr>
              <w:br/>
              <w:t>④是否存在截留、挤占、挪用、虚列支出等情况。</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①符合国家财经法规和财务管理制度以及有关专项资金管理办法的规定；</w:t>
            </w:r>
            <w:r>
              <w:rPr>
                <w:rFonts w:ascii="宋体" w:eastAsia="宋体" w:hAnsi="宋体" w:cs="宋体" w:hint="eastAsia"/>
                <w:color w:val="535353"/>
                <w:kern w:val="0"/>
                <w:sz w:val="18"/>
                <w:szCs w:val="18"/>
                <w:lang w:bidi="ar"/>
              </w:rPr>
              <w:br/>
              <w:t>②资金的拨付有完整的审批程序和手续；</w:t>
            </w:r>
            <w:r>
              <w:rPr>
                <w:rFonts w:ascii="宋体" w:eastAsia="宋体" w:hAnsi="宋体" w:cs="宋体" w:hint="eastAsia"/>
                <w:color w:val="535353"/>
                <w:kern w:val="0"/>
                <w:sz w:val="18"/>
                <w:szCs w:val="18"/>
                <w:lang w:bidi="ar"/>
              </w:rPr>
              <w:br/>
              <w:t>③符合项目预算批复或合同规定的用途；</w:t>
            </w:r>
            <w:r>
              <w:rPr>
                <w:rFonts w:ascii="宋体" w:eastAsia="宋体" w:hAnsi="宋体" w:cs="宋体" w:hint="eastAsia"/>
                <w:color w:val="535353"/>
                <w:kern w:val="0"/>
                <w:sz w:val="18"/>
                <w:szCs w:val="18"/>
                <w:lang w:bidi="ar"/>
              </w:rPr>
              <w:br/>
              <w:t>④不得存在截留、挤占、挪用、虚列支出等情况。</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①是否符合国家财经法规和财务管理制度以及有关专项资金管理办法的规定；（3分）</w:t>
            </w:r>
            <w:r>
              <w:rPr>
                <w:rFonts w:ascii="宋体" w:eastAsia="宋体" w:hAnsi="宋体" w:cs="宋体" w:hint="eastAsia"/>
                <w:color w:val="535353"/>
                <w:kern w:val="0"/>
                <w:sz w:val="18"/>
                <w:szCs w:val="18"/>
                <w:lang w:bidi="ar"/>
              </w:rPr>
              <w:br/>
              <w:t>②资金的拨付是否有完整的审批程序和手续；（2分）</w:t>
            </w:r>
            <w:r>
              <w:rPr>
                <w:rFonts w:ascii="宋体" w:eastAsia="宋体" w:hAnsi="宋体" w:cs="宋体" w:hint="eastAsia"/>
                <w:color w:val="535353"/>
                <w:kern w:val="0"/>
                <w:sz w:val="18"/>
                <w:szCs w:val="18"/>
                <w:lang w:bidi="ar"/>
              </w:rPr>
              <w:br/>
              <w:t>③是否符合项目预算批复或合同规定的用途；（3分）</w:t>
            </w:r>
            <w:r>
              <w:rPr>
                <w:rFonts w:ascii="宋体" w:eastAsia="宋体" w:hAnsi="宋体" w:cs="宋体" w:hint="eastAsia"/>
                <w:color w:val="535353"/>
                <w:kern w:val="0"/>
                <w:sz w:val="18"/>
                <w:szCs w:val="18"/>
                <w:lang w:bidi="ar"/>
              </w:rPr>
              <w:br/>
              <w:t>④是否存在截留、挤占、挪用、虚列支出等情况。（2分）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w:t>
            </w:r>
          </w:p>
        </w:tc>
      </w:tr>
      <w:tr w:rsidR="00DD1AB9" w:rsidTr="003F16DB">
        <w:trPr>
          <w:trHeight w:val="1780"/>
        </w:trPr>
        <w:tc>
          <w:tcPr>
            <w:tcW w:w="559" w:type="dxa"/>
            <w:vMerge w:val="restart"/>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 </w:t>
            </w: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资金管理有效性</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①是否已制定或出台相应的项目资金管理办法；                              ②是否已制定或出台相应的监督检查机制；                                ③是否采取了相应的监督检查措施或手段。</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①已制定或出台相应的项目资金管理办法；         ②已制定或出台相应的监督检查机制；            ③采取了相应的监督检查措施或手段。</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①是否已制定或出台相应的项目资金管理办法；（1分）                      ②是否已制定或出台相应的监督检查机制；（2分）</w:t>
            </w:r>
            <w:r>
              <w:rPr>
                <w:rFonts w:ascii="宋体" w:eastAsia="宋体" w:hAnsi="宋体" w:cs="宋体" w:hint="eastAsia"/>
                <w:color w:val="535353"/>
                <w:kern w:val="0"/>
                <w:sz w:val="18"/>
                <w:szCs w:val="18"/>
                <w:lang w:bidi="ar"/>
              </w:rPr>
              <w:br/>
              <w:t>③是否采取了相应的监督检查措施或手段。（2分）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134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项目结余资金使用情况</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项目结余资金是否继续按照资金管理办法确定范围安排使用。</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项目结余资金继续按照资金管理办法确定范围安排使用。</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项目结余资金是否继续按照资金管理办法确定范围安排使用。（5分）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142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预算绩效材料报</w:t>
            </w:r>
            <w:r>
              <w:rPr>
                <w:rFonts w:ascii="宋体" w:eastAsia="宋体" w:hAnsi="宋体" w:cs="宋体" w:hint="eastAsia"/>
                <w:color w:val="535353"/>
                <w:kern w:val="0"/>
                <w:sz w:val="18"/>
                <w:szCs w:val="18"/>
                <w:lang w:bidi="ar"/>
              </w:rPr>
              <w:lastRenderedPageBreak/>
              <w:t>送及时性</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lastRenderedPageBreak/>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项目单位是否及时报送预算绩效管理工作相关材料</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项目单位及时报送预算绩效管理工作相关材料</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项目单位及时报送材料得5分，每晚报一次扣1分，扣完为止。</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190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项目管理</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①项目是否执行招投标或政府采购制度；       </w:t>
            </w:r>
            <w:r>
              <w:rPr>
                <w:rFonts w:ascii="宋体" w:eastAsia="宋体" w:hAnsi="宋体" w:cs="宋体" w:hint="eastAsia"/>
                <w:color w:val="535353"/>
                <w:kern w:val="0"/>
                <w:sz w:val="18"/>
                <w:szCs w:val="18"/>
                <w:lang w:bidi="ar"/>
              </w:rPr>
              <w:br/>
              <w:t>②项目是否已制定或具有相应的审核验收制度；                               ③项目是否在规定的时间内如期完工，并按规定对项目进行审核验收。</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①项目执行招投标或政府采购制度；                 </w:t>
            </w:r>
            <w:r>
              <w:rPr>
                <w:rFonts w:ascii="宋体" w:eastAsia="宋体" w:hAnsi="宋体" w:cs="宋体" w:hint="eastAsia"/>
                <w:color w:val="535353"/>
                <w:kern w:val="0"/>
                <w:sz w:val="18"/>
                <w:szCs w:val="18"/>
                <w:lang w:bidi="ar"/>
              </w:rPr>
              <w:br/>
              <w:t>②项目已制定或具有相应的审核验收制度；           </w:t>
            </w:r>
            <w:r>
              <w:rPr>
                <w:rFonts w:ascii="宋体" w:eastAsia="宋体" w:hAnsi="宋体" w:cs="宋体" w:hint="eastAsia"/>
                <w:color w:val="535353"/>
                <w:kern w:val="0"/>
                <w:sz w:val="18"/>
                <w:szCs w:val="18"/>
                <w:lang w:bidi="ar"/>
              </w:rPr>
              <w:br/>
              <w:t>③项目在规定的时间内如期完工，并按规定对项目进行审核验收。</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①项目是否执行招投标或政府采购制度； （4分）                      ②项目是否已制定或具有相应的审核验收制度；（3分）               ③项目是否在规定的时间内如期完工，并按规定对项目进行审核验收。（3分）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w:t>
            </w:r>
          </w:p>
        </w:tc>
      </w:tr>
      <w:tr w:rsidR="00DD1AB9" w:rsidTr="003F16DB">
        <w:trPr>
          <w:trHeight w:val="860"/>
        </w:trPr>
        <w:tc>
          <w:tcPr>
            <w:tcW w:w="559" w:type="dxa"/>
            <w:vMerge w:val="restart"/>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产出指标</w:t>
            </w:r>
          </w:p>
        </w:tc>
        <w:tc>
          <w:tcPr>
            <w:tcW w:w="560" w:type="dxa"/>
            <w:vMerge w:val="restart"/>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40</w:t>
            </w: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数量指标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8</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安全生产应急演练（危险化学救援、烟花爆竹救援、矿山救援等）</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1次以上</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完成演练1次以上得8分，全年无演练不得分。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8</w:t>
            </w:r>
          </w:p>
        </w:tc>
      </w:tr>
      <w:tr w:rsidR="00DD1AB9" w:rsidTr="003F16DB">
        <w:trPr>
          <w:trHeight w:val="74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质量指标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3</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是否有演练计划方案</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有演练计划方案</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有演练计划方案得3分，未完成不得分。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3</w:t>
            </w:r>
          </w:p>
        </w:tc>
      </w:tr>
      <w:tr w:rsidR="00DD1AB9" w:rsidTr="003F16DB">
        <w:trPr>
          <w:trHeight w:val="74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质量指标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3</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是否有演练总结评估</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有演练总结评估</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有演练总结评估得3分，未完成不得分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3</w:t>
            </w:r>
          </w:p>
        </w:tc>
      </w:tr>
      <w:tr w:rsidR="00DD1AB9" w:rsidTr="003F16DB">
        <w:trPr>
          <w:trHeight w:val="72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质量指标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3</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是否有演练图像资料</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有演练图像资料</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有演练图像资料得3分，未完成不得分。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3</w:t>
            </w:r>
          </w:p>
        </w:tc>
      </w:tr>
      <w:tr w:rsidR="00DD1AB9" w:rsidTr="003F16DB">
        <w:trPr>
          <w:trHeight w:val="72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时效指标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项目实施是否按计划完成</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按计划2018年12月31日前完成</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按计划2018年12月31日前完成得2分，否则不得分。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r>
      <w:tr w:rsidR="00DD1AB9" w:rsidTr="003F16DB">
        <w:trPr>
          <w:trHeight w:val="70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成本指标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按年度预算执行</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不超过8万元</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不超过8万元得2分，超过不得分。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r>
      <w:tr w:rsidR="00DD1AB9" w:rsidTr="003F16DB">
        <w:trPr>
          <w:trHeight w:val="920"/>
        </w:trPr>
        <w:tc>
          <w:tcPr>
            <w:tcW w:w="559" w:type="dxa"/>
            <w:vMerge w:val="restart"/>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效益指标</w:t>
            </w: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社会效益指标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是否提高从业人员自救能力</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企业从业人员自救能力得到提高</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完成得2分，未完成不得分。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r>
      <w:tr w:rsidR="00DD1AB9" w:rsidTr="003F16DB">
        <w:trPr>
          <w:trHeight w:val="98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社会效益指标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是否完善应急设备设施</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应急设备设施得到完善</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完成得2分，未完成不得分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2</w:t>
            </w:r>
          </w:p>
        </w:tc>
      </w:tr>
      <w:tr w:rsidR="00DD1AB9" w:rsidTr="003F16DB">
        <w:trPr>
          <w:trHeight w:val="112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可持续影响指标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提高安全意识及事故应急处理能力，推动安全生产大环境发展</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每个演练事先有演练计划方案，参演人员到位，演练安全顺利完成，事后有演练小结，有演练图片资料</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完成得5分，未完成不得分。</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1275"/>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服务对象满意度指标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企业从业人员对项目实施效果的满意度进行调查。每个项目发放满意度调查表20份</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满意度调查所反映的满意程度达90%以上</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发放企业从业人员满意度调查表不少于20份，满意度达90%以上得5分，每少1个百分点扣1分，扣完为止。</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1200"/>
        </w:trPr>
        <w:tc>
          <w:tcPr>
            <w:tcW w:w="559" w:type="dxa"/>
            <w:vMerge/>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560" w:type="dxa"/>
            <w:vMerge/>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rPr>
                <w:rFonts w:ascii="宋体"/>
                <w:sz w:val="18"/>
                <w:szCs w:val="18"/>
              </w:rPr>
            </w:pP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服务对象满意度指标</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参加演练单位对项目实施效果的满意程度进行调查。每个项目发放满意度调查表20份</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参加演练单位满意度调查所反映的满意程度达90%以上</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left"/>
              <w:textAlignment w:val="center"/>
            </w:pPr>
            <w:r>
              <w:rPr>
                <w:rFonts w:ascii="宋体" w:eastAsia="宋体" w:hAnsi="宋体" w:cs="宋体" w:hint="eastAsia"/>
                <w:color w:val="535353"/>
                <w:kern w:val="0"/>
                <w:sz w:val="18"/>
                <w:szCs w:val="18"/>
                <w:lang w:bidi="ar"/>
              </w:rPr>
              <w:t>发放参加演练单位满意度调查表不少于20份，满意度达90%以上得5分，每少1个百分点扣1分，扣完为止。</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5</w:t>
            </w:r>
          </w:p>
        </w:tc>
      </w:tr>
      <w:tr w:rsidR="00DD1AB9" w:rsidTr="003F16DB">
        <w:trPr>
          <w:trHeight w:val="735"/>
        </w:trPr>
        <w:tc>
          <w:tcPr>
            <w:tcW w:w="559" w:type="dxa"/>
            <w:tcBorders>
              <w:top w:val="nil"/>
              <w:left w:val="single" w:sz="8" w:space="0" w:color="535353"/>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lastRenderedPageBreak/>
              <w:t>合计</w:t>
            </w:r>
          </w:p>
        </w:tc>
        <w:tc>
          <w:tcPr>
            <w:tcW w:w="56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100</w:t>
            </w:r>
          </w:p>
        </w:tc>
        <w:tc>
          <w:tcPr>
            <w:tcW w:w="65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pPr>
            <w:r>
              <w:rPr>
                <w:rFonts w:ascii="宋体" w:eastAsia="宋体" w:hAnsi="宋体" w:cs="宋体" w:hint="eastAsia"/>
                <w:color w:val="535353"/>
                <w:kern w:val="0"/>
                <w:sz w:val="18"/>
                <w:szCs w:val="18"/>
                <w:lang w:bidi="ar"/>
              </w:rPr>
              <w:t> </w:t>
            </w:r>
          </w:p>
        </w:tc>
        <w:tc>
          <w:tcPr>
            <w:tcW w:w="527"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100</w:t>
            </w:r>
          </w:p>
        </w:tc>
        <w:tc>
          <w:tcPr>
            <w:tcW w:w="2223"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pPr>
            <w:r>
              <w:rPr>
                <w:rFonts w:ascii="宋体" w:eastAsia="宋体" w:hAnsi="宋体" w:cs="宋体" w:hint="eastAsia"/>
                <w:color w:val="535353"/>
                <w:kern w:val="0"/>
                <w:sz w:val="18"/>
                <w:szCs w:val="18"/>
                <w:lang w:bidi="ar"/>
              </w:rPr>
              <w:t> </w:t>
            </w:r>
          </w:p>
        </w:tc>
        <w:tc>
          <w:tcPr>
            <w:tcW w:w="2140"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pPr>
            <w:r>
              <w:rPr>
                <w:rFonts w:ascii="宋体" w:eastAsia="宋体" w:hAnsi="宋体" w:cs="宋体" w:hint="eastAsia"/>
                <w:color w:val="535353"/>
                <w:kern w:val="0"/>
                <w:sz w:val="18"/>
                <w:szCs w:val="18"/>
                <w:lang w:bidi="ar"/>
              </w:rPr>
              <w:t> </w:t>
            </w:r>
          </w:p>
        </w:tc>
        <w:tc>
          <w:tcPr>
            <w:tcW w:w="2469"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pPr>
            <w:r>
              <w:rPr>
                <w:rFonts w:ascii="宋体" w:eastAsia="宋体" w:hAnsi="宋体" w:cs="宋体" w:hint="eastAsia"/>
                <w:color w:val="535353"/>
                <w:kern w:val="0"/>
                <w:sz w:val="18"/>
                <w:szCs w:val="18"/>
                <w:lang w:bidi="ar"/>
              </w:rPr>
              <w:t> </w:t>
            </w:r>
          </w:p>
        </w:tc>
        <w:tc>
          <w:tcPr>
            <w:tcW w:w="688" w:type="dxa"/>
            <w:tcBorders>
              <w:top w:val="nil"/>
              <w:left w:val="nil"/>
              <w:bottom w:val="single" w:sz="8" w:space="0" w:color="535353"/>
              <w:right w:val="single" w:sz="8" w:space="0" w:color="535353"/>
            </w:tcBorders>
            <w:shd w:val="clear" w:color="auto" w:fill="auto"/>
            <w:tcMar>
              <w:bottom w:w="0" w:type="dxa"/>
            </w:tcMar>
            <w:vAlign w:val="center"/>
          </w:tcPr>
          <w:p w:rsidR="00DD1AB9" w:rsidRDefault="00DD1AB9" w:rsidP="003F16DB">
            <w:pPr>
              <w:widowControl/>
              <w:spacing w:beforeAutospacing="1" w:afterAutospacing="1" w:line="324" w:lineRule="atLeast"/>
              <w:jc w:val="center"/>
              <w:textAlignment w:val="center"/>
            </w:pPr>
            <w:r>
              <w:rPr>
                <w:rFonts w:ascii="宋体" w:eastAsia="宋体" w:hAnsi="宋体" w:cs="宋体" w:hint="eastAsia"/>
                <w:color w:val="535353"/>
                <w:kern w:val="0"/>
                <w:sz w:val="18"/>
                <w:szCs w:val="18"/>
                <w:lang w:bidi="ar"/>
              </w:rPr>
              <w:t>100</w:t>
            </w:r>
          </w:p>
        </w:tc>
      </w:tr>
    </w:tbl>
    <w:p w:rsidR="002D2174" w:rsidRDefault="002D2174">
      <w:bookmarkStart w:id="0" w:name="_GoBack"/>
      <w:bookmarkEnd w:id="0"/>
    </w:p>
    <w:sectPr w:rsidR="002D2174" w:rsidSect="00DD1AB9">
      <w:pgSz w:w="16838" w:h="23811" w:code="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B9"/>
    <w:rsid w:val="002D2174"/>
    <w:rsid w:val="00DD1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7EFFC-9F20-4A0B-B5A6-430727D3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A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2021-06-10T03:11:00Z</dcterms:created>
  <dcterms:modified xsi:type="dcterms:W3CDTF">2021-06-10T03:11:00Z</dcterms:modified>
</cp:coreProperties>
</file>