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7" w:type="dxa"/>
        <w:tblInd w:w="-135" w:type="dxa"/>
        <w:tblLayout w:type="fixed"/>
        <w:tblCellMar>
          <w:top w:w="15" w:type="dxa"/>
          <w:left w:w="15" w:type="dxa"/>
          <w:bottom w:w="15" w:type="dxa"/>
          <w:right w:w="15" w:type="dxa"/>
        </w:tblCellMar>
        <w:tblLook w:val="04A0" w:firstRow="1" w:lastRow="0" w:firstColumn="1" w:lastColumn="0" w:noHBand="0" w:noVBand="1"/>
      </w:tblPr>
      <w:tblGrid>
        <w:gridCol w:w="1305"/>
        <w:gridCol w:w="1304"/>
        <w:gridCol w:w="2403"/>
        <w:gridCol w:w="1426"/>
        <w:gridCol w:w="1426"/>
        <w:gridCol w:w="1613"/>
      </w:tblGrid>
      <w:tr w:rsidR="00614F99" w:rsidTr="001635D4">
        <w:trPr>
          <w:trHeight w:val="765"/>
        </w:trPr>
        <w:tc>
          <w:tcPr>
            <w:tcW w:w="9477" w:type="dxa"/>
            <w:gridSpan w:val="6"/>
            <w:shd w:val="clear" w:color="auto" w:fill="auto"/>
            <w:vAlign w:val="center"/>
          </w:tcPr>
          <w:p w:rsidR="00614F99" w:rsidRDefault="00614F99" w:rsidP="001635D4">
            <w:pPr>
              <w:widowControl/>
              <w:spacing w:line="30" w:lineRule="atLeast"/>
              <w:jc w:val="center"/>
              <w:textAlignment w:val="center"/>
              <w:rPr>
                <w:rFonts w:ascii="华文中宋" w:eastAsia="华文中宋" w:hAnsi="华文中宋" w:cs="华文中宋"/>
                <w:color w:val="000000"/>
                <w:sz w:val="36"/>
                <w:szCs w:val="36"/>
              </w:rPr>
            </w:pPr>
            <w:r>
              <w:rPr>
                <w:rFonts w:ascii="华文中宋" w:eastAsia="华文中宋" w:hAnsi="华文中宋" w:cs="华文中宋" w:hint="eastAsia"/>
                <w:color w:val="000000"/>
                <w:kern w:val="0"/>
                <w:sz w:val="36"/>
                <w:szCs w:val="36"/>
              </w:rPr>
              <w:t>2018年项目绩效基本情况表</w:t>
            </w:r>
          </w:p>
        </w:tc>
      </w:tr>
      <w:tr w:rsidR="00614F99" w:rsidTr="001635D4">
        <w:trPr>
          <w:trHeight w:val="600"/>
        </w:trPr>
        <w:tc>
          <w:tcPr>
            <w:tcW w:w="9477" w:type="dxa"/>
            <w:gridSpan w:val="6"/>
            <w:tcBorders>
              <w:bottom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rPr>
              <w:t xml:space="preserve">一、项 目 基 本 概 </w:t>
            </w:r>
            <w:proofErr w:type="gramStart"/>
            <w:r>
              <w:rPr>
                <w:rFonts w:ascii="仿宋_GB2312" w:eastAsia="仿宋_GB2312" w:hAnsi="宋体" w:cs="仿宋_GB2312" w:hint="eastAsia"/>
                <w:b/>
                <w:color w:val="000000"/>
                <w:kern w:val="0"/>
                <w:sz w:val="28"/>
                <w:szCs w:val="28"/>
              </w:rPr>
              <w:t>况</w:t>
            </w:r>
            <w:proofErr w:type="gramEnd"/>
            <w:r>
              <w:rPr>
                <w:rFonts w:ascii="仿宋_GB2312" w:eastAsia="仿宋_GB2312" w:hAnsi="宋体" w:cs="仿宋_GB2312" w:hint="eastAsia"/>
                <w:b/>
                <w:color w:val="000000"/>
                <w:kern w:val="0"/>
                <w:sz w:val="28"/>
                <w:szCs w:val="28"/>
              </w:rPr>
              <w:t xml:space="preserve"> </w:t>
            </w:r>
            <w:r>
              <w:rPr>
                <w:rStyle w:val="font41"/>
                <w:rFonts w:hAnsi="宋体" w:hint="default"/>
              </w:rPr>
              <w:t>单位：万元</w:t>
            </w:r>
          </w:p>
        </w:tc>
      </w:tr>
      <w:tr w:rsidR="00614F99" w:rsidTr="001635D4">
        <w:trPr>
          <w:trHeight w:val="915"/>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项目名称</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科普教育基地、群测群防项目</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项目属性</w:t>
            </w:r>
          </w:p>
        </w:tc>
        <w:tc>
          <w:tcPr>
            <w:tcW w:w="3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延续项目</w:t>
            </w:r>
          </w:p>
        </w:tc>
      </w:tr>
      <w:tr w:rsidR="00614F99" w:rsidTr="001635D4">
        <w:trPr>
          <w:trHeight w:val="3735"/>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项目概况</w:t>
            </w:r>
          </w:p>
        </w:tc>
        <w:tc>
          <w:tcPr>
            <w:tcW w:w="6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桂林市防震减灾科普教育基地、群测群防项目以普及科学知识、倡导科学方法、传播科学思想、弘扬科学精神为宗旨；坚持社会性、群众性、经常性及公益性的原则，免费向广大群众开放，年内参观4次以上，受教育人数达200人。通过完善设施、丰富科普教育内容、规范讲解词、增加地震互动项目等措施，增强防震宣传、提高大众对地震相关知识的理解以及学习在地震灾害发生时如何自救互救，充分发挥防震减灾宣传主窗口作用。群测群防点年内提供宏观观测记录（每周一次），通过动物观测、地下水观测及气象观测等观测手段，承担着全市防震减灾宏观观测监测工作，为桂林的地震研究提供第一手资料。</w:t>
            </w:r>
          </w:p>
        </w:tc>
      </w:tr>
      <w:tr w:rsidR="00614F99" w:rsidTr="001635D4">
        <w:trPr>
          <w:trHeight w:val="870"/>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项目负责人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曹正阳</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联系电话</w:t>
            </w:r>
          </w:p>
        </w:tc>
        <w:tc>
          <w:tcPr>
            <w:tcW w:w="3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2830213</w:t>
            </w:r>
          </w:p>
        </w:tc>
      </w:tr>
      <w:tr w:rsidR="00614F99" w:rsidTr="001635D4">
        <w:trPr>
          <w:trHeight w:val="870"/>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地 址</w:t>
            </w:r>
          </w:p>
        </w:tc>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桂林市临桂区创业大厦东辅楼</w:t>
            </w:r>
            <w:proofErr w:type="gramEnd"/>
            <w:r>
              <w:rPr>
                <w:rFonts w:ascii="仿宋_GB2312" w:eastAsia="仿宋_GB2312" w:hAnsi="宋体" w:cs="仿宋_GB2312" w:hint="eastAsia"/>
                <w:color w:val="000000"/>
                <w:kern w:val="0"/>
                <w:sz w:val="24"/>
              </w:rPr>
              <w:t>7楼</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邮编</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541799</w:t>
            </w:r>
          </w:p>
        </w:tc>
      </w:tr>
      <w:tr w:rsidR="00614F99" w:rsidTr="001635D4">
        <w:trPr>
          <w:trHeight w:val="870"/>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项目起止时间</w:t>
            </w:r>
          </w:p>
        </w:tc>
        <w:tc>
          <w:tcPr>
            <w:tcW w:w="6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2018.1.1-2018.12.31</w:t>
            </w:r>
          </w:p>
        </w:tc>
      </w:tr>
      <w:tr w:rsidR="00614F99" w:rsidTr="001635D4">
        <w:trPr>
          <w:trHeight w:val="870"/>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计划安排资金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4.96</w:t>
            </w: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实际支出资金（万元）</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4.91</w:t>
            </w:r>
          </w:p>
        </w:tc>
      </w:tr>
      <w:tr w:rsidR="00614F99" w:rsidTr="001635D4">
        <w:trPr>
          <w:trHeight w:val="870"/>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其中：一般预算拨款</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4.96</w:t>
            </w: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其中：一般预算拨款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4.91</w:t>
            </w:r>
          </w:p>
        </w:tc>
      </w:tr>
      <w:tr w:rsidR="00614F99" w:rsidTr="001635D4">
        <w:trPr>
          <w:trHeight w:val="870"/>
        </w:trPr>
        <w:tc>
          <w:tcPr>
            <w:tcW w:w="2609" w:type="dxa"/>
            <w:gridSpan w:val="2"/>
            <w:tcBorders>
              <w:top w:val="single" w:sz="4" w:space="0" w:color="000000"/>
              <w:left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政府性基金拨款</w:t>
            </w:r>
          </w:p>
        </w:tc>
        <w:tc>
          <w:tcPr>
            <w:tcW w:w="2403" w:type="dxa"/>
            <w:tcBorders>
              <w:top w:val="single" w:sz="4" w:space="0" w:color="000000"/>
              <w:left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c>
          <w:tcPr>
            <w:tcW w:w="2852" w:type="dxa"/>
            <w:gridSpan w:val="2"/>
            <w:tcBorders>
              <w:top w:val="single" w:sz="4" w:space="0" w:color="000000"/>
              <w:left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政府性基金拨款</w:t>
            </w:r>
          </w:p>
        </w:tc>
        <w:tc>
          <w:tcPr>
            <w:tcW w:w="1613" w:type="dxa"/>
            <w:tcBorders>
              <w:top w:val="single" w:sz="4" w:space="0" w:color="000000"/>
              <w:left w:val="single" w:sz="4" w:space="0" w:color="000000"/>
              <w:right w:val="single" w:sz="4" w:space="0" w:color="000000"/>
            </w:tcBorders>
            <w:shd w:val="clear" w:color="auto" w:fill="auto"/>
            <w:vAlign w:val="center"/>
          </w:tcPr>
          <w:p w:rsidR="00614F99" w:rsidRDefault="00614F99" w:rsidP="001635D4">
            <w:pPr>
              <w:rPr>
                <w:rFonts w:ascii="仿宋_GB2312" w:eastAsia="仿宋_GB2312" w:hAnsi="宋体" w:cs="仿宋_GB2312"/>
                <w:color w:val="000000"/>
                <w:sz w:val="24"/>
              </w:rPr>
            </w:pPr>
          </w:p>
        </w:tc>
      </w:tr>
      <w:tr w:rsidR="00614F99" w:rsidTr="001635D4">
        <w:trPr>
          <w:trHeight w:val="870"/>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上级补助资金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上级补助资金</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仿宋_GB2312" w:eastAsia="仿宋_GB2312" w:hAnsi="宋体" w:cs="仿宋_GB2312"/>
                <w:color w:val="000000"/>
                <w:sz w:val="24"/>
              </w:rPr>
            </w:pPr>
          </w:p>
        </w:tc>
      </w:tr>
      <w:tr w:rsidR="00614F99" w:rsidTr="001635D4">
        <w:trPr>
          <w:trHeight w:val="870"/>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上年结余</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上年结余</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r>
      <w:tr w:rsidR="00614F99" w:rsidTr="001635D4">
        <w:trPr>
          <w:trHeight w:val="1080"/>
        </w:trPr>
        <w:tc>
          <w:tcPr>
            <w:tcW w:w="9477" w:type="dxa"/>
            <w:gridSpan w:val="6"/>
            <w:tcBorders>
              <w:bottom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rPr>
              <w:lastRenderedPageBreak/>
              <w:t>二、项目支出明细情况 单位：万元</w:t>
            </w:r>
          </w:p>
        </w:tc>
      </w:tr>
      <w:tr w:rsidR="00614F99" w:rsidTr="001635D4">
        <w:trPr>
          <w:trHeight w:val="840"/>
        </w:trPr>
        <w:tc>
          <w:tcPr>
            <w:tcW w:w="5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支出内容</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计划支出数</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实际支出数</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预算支出进度</w:t>
            </w:r>
          </w:p>
        </w:tc>
      </w:tr>
      <w:tr w:rsidR="00614F99" w:rsidTr="001635D4">
        <w:trPr>
          <w:trHeight w:val="660"/>
        </w:trPr>
        <w:tc>
          <w:tcPr>
            <w:tcW w:w="5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群测群防观测补助</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0.64</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0.64</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100%</w:t>
            </w:r>
          </w:p>
        </w:tc>
      </w:tr>
      <w:tr w:rsidR="00614F99" w:rsidTr="001635D4">
        <w:trPr>
          <w:trHeight w:val="660"/>
        </w:trPr>
        <w:tc>
          <w:tcPr>
            <w:tcW w:w="5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电视台日报社科普基地观摩</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0.80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0.80</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r>
      <w:tr w:rsidR="00614F99" w:rsidTr="001635D4">
        <w:trPr>
          <w:trHeight w:val="660"/>
        </w:trPr>
        <w:tc>
          <w:tcPr>
            <w:tcW w:w="5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购教育</w:t>
            </w:r>
            <w:proofErr w:type="gramEnd"/>
            <w:r>
              <w:rPr>
                <w:rFonts w:ascii="仿宋_GB2312" w:eastAsia="仿宋_GB2312" w:hAnsi="宋体" w:cs="仿宋_GB2312" w:hint="eastAsia"/>
                <w:color w:val="000000"/>
                <w:kern w:val="0"/>
                <w:sz w:val="24"/>
              </w:rPr>
              <w:t>宣传袋子</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0.40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0.40</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r>
      <w:tr w:rsidR="00614F99" w:rsidTr="001635D4">
        <w:trPr>
          <w:trHeight w:val="660"/>
        </w:trPr>
        <w:tc>
          <w:tcPr>
            <w:tcW w:w="5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科普基地宣传栏制作</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2.94</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2.94</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r>
      <w:tr w:rsidR="00614F99" w:rsidTr="001635D4">
        <w:trPr>
          <w:trHeight w:val="660"/>
        </w:trPr>
        <w:tc>
          <w:tcPr>
            <w:tcW w:w="5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科普示范学校资料装订费</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0.02</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0.02</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r>
      <w:tr w:rsidR="00614F99" w:rsidTr="001635D4">
        <w:trPr>
          <w:trHeight w:val="660"/>
        </w:trPr>
        <w:tc>
          <w:tcPr>
            <w:tcW w:w="5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租车到科普基地</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0.11</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0.11</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r>
      <w:tr w:rsidR="00614F99" w:rsidTr="001635D4">
        <w:trPr>
          <w:trHeight w:val="660"/>
        </w:trPr>
        <w:tc>
          <w:tcPr>
            <w:tcW w:w="5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支出合计</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4.91</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4.91</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4"/>
              </w:rPr>
            </w:pPr>
          </w:p>
        </w:tc>
      </w:tr>
      <w:tr w:rsidR="00614F99" w:rsidTr="001635D4">
        <w:trPr>
          <w:trHeight w:val="735"/>
        </w:trPr>
        <w:tc>
          <w:tcPr>
            <w:tcW w:w="9477" w:type="dxa"/>
            <w:gridSpan w:val="6"/>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rPr>
              <w:t>三、项目绩效情况</w:t>
            </w:r>
          </w:p>
        </w:tc>
      </w:tr>
      <w:tr w:rsidR="00614F99" w:rsidTr="001635D4">
        <w:trPr>
          <w:trHeight w:val="1140"/>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项目绩效 目 标</w:t>
            </w:r>
          </w:p>
        </w:tc>
        <w:tc>
          <w:tcPr>
            <w:tcW w:w="81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建立科普教育基地1个，开展科普宣传活动；建立群策群防点4个，加大群策群防监测力度；建立防震减灾科普示范学校4个，示范社区1个。</w:t>
            </w:r>
          </w:p>
        </w:tc>
      </w:tr>
      <w:tr w:rsidR="00614F99" w:rsidTr="001635D4">
        <w:trPr>
          <w:trHeight w:val="1080"/>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项目实际 完成情况</w:t>
            </w:r>
          </w:p>
        </w:tc>
        <w:tc>
          <w:tcPr>
            <w:tcW w:w="81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建立科普教育基地1个，开展科普宣传活动；建立群策群防点4个，加大群策群防监测力度；建立防震减灾科普示范学校4个，示范社区1个。做到专款专用。</w:t>
            </w:r>
          </w:p>
        </w:tc>
      </w:tr>
      <w:tr w:rsidR="00614F99" w:rsidTr="001635D4">
        <w:trPr>
          <w:trHeight w:val="495"/>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自评得分</w:t>
            </w:r>
          </w:p>
        </w:tc>
        <w:tc>
          <w:tcPr>
            <w:tcW w:w="81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100分</w:t>
            </w:r>
          </w:p>
        </w:tc>
      </w:tr>
      <w:tr w:rsidR="00614F99" w:rsidTr="001635D4">
        <w:trPr>
          <w:trHeight w:val="960"/>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主要存在 问题</w:t>
            </w:r>
          </w:p>
        </w:tc>
        <w:tc>
          <w:tcPr>
            <w:tcW w:w="81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受限于资金规模，宣传覆盖面较窄，还不能覆盖到全市辖区的中小学校；未购买添置地震体验设施，参观人员对地震发生时的真实体验性不够强。</w:t>
            </w:r>
          </w:p>
        </w:tc>
      </w:tr>
      <w:tr w:rsidR="00614F99" w:rsidTr="001635D4">
        <w:trPr>
          <w:trHeight w:val="1575"/>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对项目实施的建议</w:t>
            </w:r>
          </w:p>
        </w:tc>
        <w:tc>
          <w:tcPr>
            <w:tcW w:w="81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加强对项目绩效评价的领导；对项目要制定部门或专人负责；加强项目负责部门与财务部门的沟通与协作。加大宣传力度，提高民众防震减灾意识，减轻地震带来的损失，提高群测群防监测能力。建立长期有效的防震减灾科普教育宣传机制，建议该项目在有限的资金下添置部分体验式设备，有助于提升民众参与积极性，提高项目产出效益。</w:t>
            </w:r>
          </w:p>
        </w:tc>
      </w:tr>
    </w:tbl>
    <w:p w:rsidR="00614F99" w:rsidRDefault="00614F99" w:rsidP="00614F99">
      <w:pPr>
        <w:widowControl/>
        <w:wordWrap w:val="0"/>
        <w:jc w:val="left"/>
      </w:pPr>
      <w:r>
        <w:rPr>
          <w:rFonts w:ascii="仿宋_GB2312" w:eastAsia="仿宋_GB2312" w:cs="仿宋_GB2312" w:hint="eastAsia"/>
          <w:kern w:val="0"/>
          <w:sz w:val="32"/>
          <w:szCs w:val="32"/>
        </w:rPr>
        <w:t>2.部门决算</w:t>
      </w:r>
      <w:proofErr w:type="gramStart"/>
      <w:r>
        <w:rPr>
          <w:rFonts w:ascii="仿宋_GB2312" w:eastAsia="仿宋_GB2312" w:cs="仿宋_GB2312" w:hint="eastAsia"/>
          <w:kern w:val="0"/>
          <w:sz w:val="32"/>
          <w:szCs w:val="32"/>
        </w:rPr>
        <w:t>中项目</w:t>
      </w:r>
      <w:proofErr w:type="gramEnd"/>
      <w:r>
        <w:rPr>
          <w:rFonts w:ascii="仿宋_GB2312" w:eastAsia="仿宋_GB2312" w:cs="仿宋_GB2312" w:hint="eastAsia"/>
          <w:kern w:val="0"/>
          <w:sz w:val="32"/>
          <w:szCs w:val="32"/>
        </w:rPr>
        <w:t>绩效自评结果。</w:t>
      </w:r>
    </w:p>
    <w:tbl>
      <w:tblPr>
        <w:tblW w:w="8336" w:type="dxa"/>
        <w:tblLayout w:type="fixed"/>
        <w:tblCellMar>
          <w:top w:w="15" w:type="dxa"/>
          <w:left w:w="15" w:type="dxa"/>
          <w:bottom w:w="15" w:type="dxa"/>
          <w:right w:w="15" w:type="dxa"/>
        </w:tblCellMar>
        <w:tblLook w:val="04A0" w:firstRow="1" w:lastRow="0" w:firstColumn="1" w:lastColumn="0" w:noHBand="0" w:noVBand="1"/>
      </w:tblPr>
      <w:tblGrid>
        <w:gridCol w:w="329"/>
        <w:gridCol w:w="572"/>
        <w:gridCol w:w="378"/>
        <w:gridCol w:w="354"/>
        <w:gridCol w:w="1726"/>
        <w:gridCol w:w="732"/>
        <w:gridCol w:w="1758"/>
        <w:gridCol w:w="619"/>
        <w:gridCol w:w="1376"/>
        <w:gridCol w:w="492"/>
      </w:tblGrid>
      <w:tr w:rsidR="00614F99" w:rsidTr="001635D4">
        <w:trPr>
          <w:trHeight w:val="286"/>
        </w:trPr>
        <w:tc>
          <w:tcPr>
            <w:tcW w:w="329" w:type="dxa"/>
            <w:shd w:val="clear" w:color="auto" w:fill="auto"/>
            <w:vAlign w:val="center"/>
          </w:tcPr>
          <w:p w:rsidR="00614F99" w:rsidRDefault="00614F99" w:rsidP="001635D4">
            <w:pPr>
              <w:rPr>
                <w:rFonts w:ascii="仿宋_GB2312" w:eastAsia="仿宋_GB2312" w:hAnsi="宋体" w:cs="仿宋_GB2312"/>
                <w:color w:val="000000"/>
                <w:sz w:val="20"/>
                <w:szCs w:val="20"/>
              </w:rPr>
            </w:pPr>
          </w:p>
        </w:tc>
        <w:tc>
          <w:tcPr>
            <w:tcW w:w="572" w:type="dxa"/>
            <w:shd w:val="clear" w:color="auto" w:fill="auto"/>
            <w:vAlign w:val="bottom"/>
          </w:tcPr>
          <w:p w:rsidR="00614F99" w:rsidRDefault="00614F99" w:rsidP="001635D4">
            <w:pPr>
              <w:rPr>
                <w:rFonts w:ascii="宋体" w:eastAsia="宋体" w:hAnsi="宋体" w:cs="宋体"/>
                <w:color w:val="000000"/>
                <w:sz w:val="24"/>
              </w:rPr>
            </w:pPr>
          </w:p>
        </w:tc>
        <w:tc>
          <w:tcPr>
            <w:tcW w:w="378" w:type="dxa"/>
            <w:shd w:val="clear" w:color="auto" w:fill="auto"/>
            <w:vAlign w:val="bottom"/>
          </w:tcPr>
          <w:p w:rsidR="00614F99" w:rsidRDefault="00614F99" w:rsidP="001635D4">
            <w:pPr>
              <w:rPr>
                <w:rFonts w:ascii="宋体" w:eastAsia="宋体" w:hAnsi="宋体" w:cs="宋体"/>
                <w:color w:val="000000"/>
                <w:sz w:val="24"/>
              </w:rPr>
            </w:pPr>
          </w:p>
        </w:tc>
        <w:tc>
          <w:tcPr>
            <w:tcW w:w="354" w:type="dxa"/>
            <w:shd w:val="clear" w:color="auto" w:fill="auto"/>
            <w:vAlign w:val="bottom"/>
          </w:tcPr>
          <w:p w:rsidR="00614F99" w:rsidRDefault="00614F99" w:rsidP="001635D4">
            <w:pPr>
              <w:rPr>
                <w:rFonts w:ascii="宋体" w:eastAsia="宋体" w:hAnsi="宋体" w:cs="宋体"/>
                <w:color w:val="000000"/>
                <w:sz w:val="24"/>
              </w:rPr>
            </w:pPr>
          </w:p>
        </w:tc>
        <w:tc>
          <w:tcPr>
            <w:tcW w:w="1726" w:type="dxa"/>
            <w:shd w:val="clear" w:color="auto" w:fill="auto"/>
            <w:vAlign w:val="bottom"/>
          </w:tcPr>
          <w:p w:rsidR="00614F99" w:rsidRDefault="00614F99" w:rsidP="001635D4">
            <w:pPr>
              <w:rPr>
                <w:rFonts w:ascii="宋体" w:eastAsia="宋体" w:hAnsi="宋体" w:cs="宋体"/>
                <w:color w:val="000000"/>
                <w:sz w:val="24"/>
              </w:rPr>
            </w:pPr>
          </w:p>
        </w:tc>
        <w:tc>
          <w:tcPr>
            <w:tcW w:w="732" w:type="dxa"/>
            <w:shd w:val="clear" w:color="auto" w:fill="auto"/>
            <w:vAlign w:val="bottom"/>
          </w:tcPr>
          <w:p w:rsidR="00614F99" w:rsidRDefault="00614F99" w:rsidP="001635D4">
            <w:pPr>
              <w:rPr>
                <w:rFonts w:ascii="宋体" w:eastAsia="宋体" w:hAnsi="宋体" w:cs="宋体"/>
                <w:color w:val="000000"/>
                <w:sz w:val="24"/>
              </w:rPr>
            </w:pPr>
          </w:p>
        </w:tc>
        <w:tc>
          <w:tcPr>
            <w:tcW w:w="1758" w:type="dxa"/>
            <w:shd w:val="clear" w:color="auto" w:fill="auto"/>
            <w:vAlign w:val="bottom"/>
          </w:tcPr>
          <w:p w:rsidR="00614F99" w:rsidRDefault="00614F99" w:rsidP="001635D4">
            <w:pPr>
              <w:rPr>
                <w:rFonts w:ascii="宋体" w:eastAsia="宋体" w:hAnsi="宋体" w:cs="宋体"/>
                <w:color w:val="000000"/>
                <w:sz w:val="24"/>
              </w:rPr>
            </w:pPr>
          </w:p>
        </w:tc>
        <w:tc>
          <w:tcPr>
            <w:tcW w:w="619" w:type="dxa"/>
            <w:shd w:val="clear" w:color="auto" w:fill="auto"/>
            <w:vAlign w:val="bottom"/>
          </w:tcPr>
          <w:p w:rsidR="00614F99" w:rsidRDefault="00614F99" w:rsidP="001635D4">
            <w:pPr>
              <w:rPr>
                <w:rFonts w:ascii="宋体" w:eastAsia="宋体" w:hAnsi="宋体" w:cs="宋体"/>
                <w:color w:val="000000"/>
                <w:sz w:val="24"/>
              </w:rPr>
            </w:pPr>
          </w:p>
        </w:tc>
        <w:tc>
          <w:tcPr>
            <w:tcW w:w="1376" w:type="dxa"/>
            <w:shd w:val="clear" w:color="auto" w:fill="auto"/>
            <w:vAlign w:val="bottom"/>
          </w:tcPr>
          <w:p w:rsidR="00614F99" w:rsidRDefault="00614F99" w:rsidP="001635D4">
            <w:pPr>
              <w:rPr>
                <w:rFonts w:ascii="宋体" w:eastAsia="宋体" w:hAnsi="宋体" w:cs="宋体"/>
                <w:color w:val="000000"/>
                <w:sz w:val="24"/>
              </w:rPr>
            </w:pPr>
          </w:p>
        </w:tc>
        <w:tc>
          <w:tcPr>
            <w:tcW w:w="492" w:type="dxa"/>
            <w:shd w:val="clear" w:color="auto" w:fill="auto"/>
            <w:vAlign w:val="bottom"/>
          </w:tcPr>
          <w:p w:rsidR="00614F99" w:rsidRDefault="00614F99" w:rsidP="001635D4">
            <w:pPr>
              <w:rPr>
                <w:rFonts w:ascii="宋体" w:eastAsia="宋体" w:hAnsi="宋体" w:cs="宋体"/>
                <w:color w:val="000000"/>
                <w:sz w:val="24"/>
              </w:rPr>
            </w:pPr>
          </w:p>
        </w:tc>
      </w:tr>
      <w:tr w:rsidR="00614F99" w:rsidTr="001635D4">
        <w:trPr>
          <w:trHeight w:val="1065"/>
        </w:trPr>
        <w:tc>
          <w:tcPr>
            <w:tcW w:w="8336" w:type="dxa"/>
            <w:gridSpan w:val="10"/>
            <w:tcBorders>
              <w:bottom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36"/>
                <w:szCs w:val="36"/>
              </w:rPr>
            </w:pPr>
            <w:r>
              <w:rPr>
                <w:rFonts w:ascii="仿宋_GB2312" w:eastAsia="仿宋_GB2312" w:hAnsi="宋体" w:cs="仿宋_GB2312" w:hint="eastAsia"/>
                <w:b/>
                <w:color w:val="000000"/>
                <w:kern w:val="0"/>
                <w:sz w:val="36"/>
                <w:szCs w:val="36"/>
              </w:rPr>
              <w:t>2018年桂林市地震局项目财政支出预算绩效指标自评表</w:t>
            </w:r>
          </w:p>
        </w:tc>
      </w:tr>
      <w:tr w:rsidR="00614F99" w:rsidTr="001635D4">
        <w:trPr>
          <w:trHeight w:val="735"/>
        </w:trPr>
        <w:tc>
          <w:tcPr>
            <w:tcW w:w="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一级指标</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分值</w:t>
            </w:r>
            <w:r>
              <w:rPr>
                <w:rFonts w:ascii="仿宋_GB2312" w:eastAsia="仿宋_GB2312" w:hAnsi="宋体" w:cs="仿宋_GB2312" w:hint="eastAsia"/>
                <w:b/>
                <w:noProof/>
                <w:color w:val="000000"/>
                <w:kern w:val="0"/>
                <w:sz w:val="20"/>
                <w:szCs w:val="20"/>
              </w:rPr>
              <w:drawing>
                <wp:inline distT="0" distB="0" distL="114300" distR="114300" wp14:anchorId="4A4D4A17" wp14:editId="12202CED">
                  <wp:extent cx="333375" cy="133350"/>
                  <wp:effectExtent l="0" t="0" r="9525"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77682808" wp14:editId="71D4B3FD">
                  <wp:extent cx="333375" cy="133350"/>
                  <wp:effectExtent l="0" t="0" r="9525"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0809DF22" wp14:editId="7DC1D651">
                  <wp:extent cx="333375" cy="133350"/>
                  <wp:effectExtent l="0" t="0" r="9525" b="0"/>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1047DFC2" wp14:editId="305FD28B">
                  <wp:extent cx="333375" cy="133350"/>
                  <wp:effectExtent l="0" t="0" r="9525" b="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671CF9C2" wp14:editId="5DA66A75">
                  <wp:extent cx="333375" cy="133350"/>
                  <wp:effectExtent l="0" t="0" r="9525"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544EE252" wp14:editId="714D3921">
                  <wp:extent cx="333375" cy="133350"/>
                  <wp:effectExtent l="0" t="0" r="9525" b="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3A95A2EC" wp14:editId="1997FBFF">
                  <wp:extent cx="333375" cy="133350"/>
                  <wp:effectExtent l="0" t="0" r="9525" b="0"/>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76AB2B51" wp14:editId="1FA9BFC8">
                  <wp:extent cx="333375" cy="133350"/>
                  <wp:effectExtent l="0" t="0" r="9525" b="0"/>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4E2F3126" wp14:editId="037D6250">
                  <wp:extent cx="333375" cy="133350"/>
                  <wp:effectExtent l="0" t="0" r="9525"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7C3152ED" wp14:editId="0B475353">
                  <wp:extent cx="333375" cy="133350"/>
                  <wp:effectExtent l="0" t="0" r="9525"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4A544921" wp14:editId="1E8656C0">
                  <wp:extent cx="333375" cy="133350"/>
                  <wp:effectExtent l="0" t="0" r="9525"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r>
              <w:rPr>
                <w:rFonts w:ascii="仿宋_GB2312" w:eastAsia="仿宋_GB2312" w:hAnsi="宋体" w:cs="仿宋_GB2312" w:hint="eastAsia"/>
                <w:b/>
                <w:noProof/>
                <w:color w:val="000000"/>
                <w:kern w:val="0"/>
                <w:sz w:val="20"/>
                <w:szCs w:val="20"/>
              </w:rPr>
              <w:drawing>
                <wp:inline distT="0" distB="0" distL="114300" distR="114300" wp14:anchorId="22BABC79" wp14:editId="70DD34B0">
                  <wp:extent cx="333375" cy="133350"/>
                  <wp:effectExtent l="0" t="0" r="9525"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4"/>
                          <a:stretch>
                            <a:fillRect/>
                          </a:stretch>
                        </pic:blipFill>
                        <pic:spPr>
                          <a:xfrm>
                            <a:off x="0" y="0"/>
                            <a:ext cx="333375" cy="133350"/>
                          </a:xfrm>
                          <a:prstGeom prst="rect">
                            <a:avLst/>
                          </a:prstGeom>
                          <a:noFill/>
                          <a:ln w="9525">
                            <a:noFill/>
                          </a:ln>
                        </pic:spPr>
                      </pic:pic>
                    </a:graphicData>
                  </a:graphic>
                </wp:inline>
              </w:drawing>
            </w: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二级指标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分值</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指标内容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指标值</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评分细则</w:t>
            </w: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自评分</w:t>
            </w:r>
          </w:p>
        </w:tc>
        <w:tc>
          <w:tcPr>
            <w:tcW w:w="1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center"/>
              <w:textAlignment w:val="center"/>
              <w:rPr>
                <w:rFonts w:ascii="仿宋_GB2312" w:eastAsia="仿宋_GB2312" w:hAnsi="宋体" w:cs="仿宋_GB2312"/>
                <w:b/>
                <w:color w:val="000000"/>
                <w:sz w:val="20"/>
                <w:szCs w:val="20"/>
              </w:rPr>
            </w:pPr>
            <w:r>
              <w:rPr>
                <w:rFonts w:ascii="仿宋_GB2312" w:eastAsia="仿宋_GB2312" w:hAnsi="宋体" w:cs="仿宋_GB2312" w:hint="eastAsia"/>
                <w:b/>
                <w:color w:val="000000"/>
                <w:kern w:val="0"/>
                <w:sz w:val="20"/>
                <w:szCs w:val="20"/>
              </w:rPr>
              <w:t>佐证材料</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w:t>
            </w:r>
          </w:p>
        </w:tc>
      </w:tr>
      <w:tr w:rsidR="00614F99" w:rsidTr="001635D4">
        <w:trPr>
          <w:trHeight w:val="1575"/>
        </w:trPr>
        <w:tc>
          <w:tcPr>
            <w:tcW w:w="3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投入指标</w:t>
            </w:r>
          </w:p>
        </w:tc>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25</w:t>
            </w:r>
            <w:r>
              <w:rPr>
                <w:rFonts w:ascii="仿宋_GB2312" w:eastAsia="仿宋_GB2312" w:hAnsi="宋体" w:cs="仿宋_GB2312" w:hint="eastAsia"/>
                <w:noProof/>
                <w:color w:val="000000"/>
                <w:kern w:val="0"/>
                <w:sz w:val="20"/>
                <w:szCs w:val="20"/>
              </w:rPr>
              <w:drawing>
                <wp:inline distT="0" distB="0" distL="114300" distR="114300" wp14:anchorId="713B2FC2" wp14:editId="06A40E01">
                  <wp:extent cx="323850" cy="9525"/>
                  <wp:effectExtent l="0" t="0" r="0" b="0"/>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5"/>
                          <a:stretch>
                            <a:fillRect/>
                          </a:stretch>
                        </pic:blipFill>
                        <pic:spPr>
                          <a:xfrm>
                            <a:off x="0" y="0"/>
                            <a:ext cx="323850" cy="9525"/>
                          </a:xfrm>
                          <a:prstGeom prst="rect">
                            <a:avLst/>
                          </a:prstGeom>
                          <a:noFill/>
                          <a:ln w="9525">
                            <a:noFill/>
                          </a:ln>
                        </pic:spPr>
                      </pic:pic>
                    </a:graphicData>
                  </a:graphic>
                </wp:inline>
              </w:drawing>
            </w:r>
            <w:r>
              <w:rPr>
                <w:rFonts w:ascii="仿宋_GB2312" w:eastAsia="仿宋_GB2312" w:hAnsi="宋体" w:cs="仿宋_GB2312" w:hint="eastAsia"/>
                <w:noProof/>
                <w:color w:val="000000"/>
                <w:kern w:val="0"/>
                <w:sz w:val="20"/>
                <w:szCs w:val="20"/>
              </w:rPr>
              <w:drawing>
                <wp:inline distT="0" distB="0" distL="114300" distR="114300" wp14:anchorId="5EB9FED3" wp14:editId="2071C2EA">
                  <wp:extent cx="323850" cy="9525"/>
                  <wp:effectExtent l="0" t="0" r="0" b="0"/>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5"/>
                          <a:stretch>
                            <a:fillRect/>
                          </a:stretch>
                        </pic:blipFill>
                        <pic:spPr>
                          <a:xfrm>
                            <a:off x="0" y="0"/>
                            <a:ext cx="323850" cy="9525"/>
                          </a:xfrm>
                          <a:prstGeom prst="rect">
                            <a:avLst/>
                          </a:prstGeom>
                          <a:noFill/>
                          <a:ln w="9525">
                            <a:noFill/>
                          </a:ln>
                        </pic:spPr>
                      </pic:pic>
                    </a:graphicData>
                  </a:graphic>
                </wp:inline>
              </w:drawing>
            </w:r>
            <w:r>
              <w:rPr>
                <w:rFonts w:ascii="仿宋_GB2312" w:eastAsia="仿宋_GB2312" w:hAnsi="宋体" w:cs="仿宋_GB2312" w:hint="eastAsia"/>
                <w:noProof/>
                <w:color w:val="000000"/>
                <w:kern w:val="0"/>
                <w:sz w:val="20"/>
                <w:szCs w:val="20"/>
              </w:rPr>
              <w:drawing>
                <wp:inline distT="0" distB="0" distL="114300" distR="114300" wp14:anchorId="474F51D1" wp14:editId="49028B5A">
                  <wp:extent cx="323850" cy="9525"/>
                  <wp:effectExtent l="0" t="0" r="0" b="0"/>
                  <wp:docPr id="1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70"/>
                          <pic:cNvPicPr>
                            <a:picLocks noChangeAspect="1"/>
                          </pic:cNvPicPr>
                        </pic:nvPicPr>
                        <pic:blipFill>
                          <a:blip r:embed="rId5"/>
                          <a:stretch>
                            <a:fillRect/>
                          </a:stretch>
                        </pic:blipFill>
                        <pic:spPr>
                          <a:xfrm>
                            <a:off x="0" y="0"/>
                            <a:ext cx="323850" cy="9525"/>
                          </a:xfrm>
                          <a:prstGeom prst="rect">
                            <a:avLst/>
                          </a:prstGeom>
                          <a:noFill/>
                          <a:ln w="9525">
                            <a:noFill/>
                          </a:ln>
                        </pic:spPr>
                      </pic:pic>
                    </a:graphicData>
                  </a:graphic>
                </wp:inline>
              </w:drawing>
            </w:r>
            <w:r>
              <w:rPr>
                <w:rFonts w:ascii="仿宋_GB2312" w:eastAsia="仿宋_GB2312" w:hAnsi="宋体" w:cs="仿宋_GB2312" w:hint="eastAsia"/>
                <w:noProof/>
                <w:color w:val="000000"/>
                <w:kern w:val="0"/>
                <w:sz w:val="20"/>
                <w:szCs w:val="20"/>
              </w:rPr>
              <w:drawing>
                <wp:inline distT="0" distB="0" distL="114300" distR="114300" wp14:anchorId="01A8E007" wp14:editId="46A72856">
                  <wp:extent cx="323850" cy="9525"/>
                  <wp:effectExtent l="0" t="0" r="0" b="0"/>
                  <wp:docPr id="1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71"/>
                          <pic:cNvPicPr>
                            <a:picLocks noChangeAspect="1"/>
                          </pic:cNvPicPr>
                        </pic:nvPicPr>
                        <pic:blipFill>
                          <a:blip r:embed="rId5"/>
                          <a:stretch>
                            <a:fillRect/>
                          </a:stretch>
                        </pic:blipFill>
                        <pic:spPr>
                          <a:xfrm>
                            <a:off x="0" y="0"/>
                            <a:ext cx="323850" cy="9525"/>
                          </a:xfrm>
                          <a:prstGeom prst="rect">
                            <a:avLst/>
                          </a:prstGeom>
                          <a:noFill/>
                          <a:ln w="9525">
                            <a:noFill/>
                          </a:ln>
                        </pic:spPr>
                      </pic:pic>
                    </a:graphicData>
                  </a:graphic>
                </wp:inline>
              </w:drawing>
            </w:r>
          </w:p>
        </w:tc>
        <w:tc>
          <w:tcPr>
            <w:tcW w:w="3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资金到位率</w:t>
            </w:r>
          </w:p>
        </w:tc>
        <w:tc>
          <w:tcPr>
            <w:tcW w:w="3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1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资金到位率=（实际到位资金/计划投入资金）×100%。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资金到位率达100%</w:t>
            </w:r>
          </w:p>
        </w:tc>
        <w:tc>
          <w:tcPr>
            <w:tcW w:w="1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到位率100%得5分，每少10个百分点以内扣1分，扣完为止。</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资金实际到位率100%</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r>
      <w:tr w:rsidR="00614F99" w:rsidTr="001635D4">
        <w:trPr>
          <w:trHeight w:val="1725"/>
        </w:trPr>
        <w:tc>
          <w:tcPr>
            <w:tcW w:w="3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预算支出进度</w:t>
            </w:r>
          </w:p>
        </w:tc>
        <w:tc>
          <w:tcPr>
            <w:tcW w:w="3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20</w:t>
            </w:r>
          </w:p>
        </w:tc>
        <w:tc>
          <w:tcPr>
            <w:tcW w:w="1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预算支出进度是否达到90%以上。</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预算支出进度达到90%以上</w:t>
            </w:r>
          </w:p>
        </w:tc>
        <w:tc>
          <w:tcPr>
            <w:tcW w:w="1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F99" w:rsidRDefault="00614F99" w:rsidP="001635D4">
            <w:pPr>
              <w:widowControl/>
              <w:spacing w:line="30" w:lineRule="atLeas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预算支出进度达到90%以上（含90%）得20分,每少1个百分点扣1分，扣完为止。</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预算支出进度达到90%以上</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r>
      <w:tr w:rsidR="00614F99" w:rsidTr="001635D4">
        <w:trPr>
          <w:trHeight w:val="1830"/>
        </w:trPr>
        <w:tc>
          <w:tcPr>
            <w:tcW w:w="329" w:type="dxa"/>
            <w:vMerge w:val="restart"/>
            <w:tcBorders>
              <w:top w:val="single" w:sz="4" w:space="0" w:color="000000"/>
              <w:left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过程指标</w:t>
            </w:r>
          </w:p>
        </w:tc>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45</w:t>
            </w: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项目资金专项核算</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专项资金是否按《行政单位财务规则》和《事业单位财务规则》专款专用，专项核算。</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专项资金必须按《行政单位财务规则》和《事业单位财务规则》专款专用，专项核算</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专项资金按《行政单位财务规则》和《事业单位财务规则》专款专用3分，专项核算得7分，否则0分。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专款专用，专项核算</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r>
      <w:tr w:rsidR="00614F99" w:rsidTr="001635D4">
        <w:trPr>
          <w:trHeight w:val="2865"/>
        </w:trPr>
        <w:tc>
          <w:tcPr>
            <w:tcW w:w="329" w:type="dxa"/>
            <w:vMerge/>
            <w:tcBorders>
              <w:top w:val="single" w:sz="4" w:space="0" w:color="000000"/>
              <w:left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资金使用合</w:t>
            </w:r>
            <w:proofErr w:type="gramStart"/>
            <w:r>
              <w:rPr>
                <w:rFonts w:ascii="仿宋_GB2312" w:eastAsia="仿宋_GB2312" w:hAnsi="宋体" w:cs="仿宋_GB2312" w:hint="eastAsia"/>
                <w:color w:val="000000"/>
                <w:kern w:val="0"/>
                <w:sz w:val="20"/>
                <w:szCs w:val="20"/>
              </w:rPr>
              <w:t>规</w:t>
            </w:r>
            <w:proofErr w:type="gramEnd"/>
            <w:r>
              <w:rPr>
                <w:rFonts w:ascii="仿宋_GB2312" w:eastAsia="仿宋_GB2312" w:hAnsi="宋体" w:cs="仿宋_GB2312" w:hint="eastAsia"/>
                <w:color w:val="000000"/>
                <w:kern w:val="0"/>
                <w:sz w:val="20"/>
                <w:szCs w:val="20"/>
              </w:rPr>
              <w:t>性</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①是否符合国家财经法规和财务管理制度以及有关专项资金管理办法的规定；</w:t>
            </w:r>
            <w:r>
              <w:rPr>
                <w:rFonts w:ascii="宋体" w:eastAsia="宋体" w:hAnsi="宋体" w:cs="宋体" w:hint="eastAsia"/>
                <w:color w:val="000000"/>
                <w:kern w:val="0"/>
                <w:sz w:val="20"/>
                <w:szCs w:val="20"/>
              </w:rPr>
              <w:br/>
              <w:t>②资金的拨付是否有完整的审批程序和手续；</w:t>
            </w:r>
            <w:r>
              <w:rPr>
                <w:rFonts w:ascii="宋体" w:eastAsia="宋体" w:hAnsi="宋体" w:cs="宋体" w:hint="eastAsia"/>
                <w:color w:val="000000"/>
                <w:kern w:val="0"/>
                <w:sz w:val="20"/>
                <w:szCs w:val="20"/>
              </w:rPr>
              <w:br/>
              <w:t>③是否符合项目预算批复或合同规定的用途；</w:t>
            </w:r>
            <w:r>
              <w:rPr>
                <w:rFonts w:ascii="宋体" w:eastAsia="宋体" w:hAnsi="宋体" w:cs="宋体" w:hint="eastAsia"/>
                <w:color w:val="000000"/>
                <w:kern w:val="0"/>
                <w:sz w:val="20"/>
                <w:szCs w:val="20"/>
              </w:rPr>
              <w:br/>
              <w:t>④是否存在截留、挤占、挪用、虚列支出等情况。</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①符合国家财经法规和财务管理制度以及有关专项资金管理办法的规定；</w:t>
            </w:r>
            <w:r>
              <w:rPr>
                <w:rFonts w:ascii="宋体" w:eastAsia="宋体" w:hAnsi="宋体" w:cs="宋体" w:hint="eastAsia"/>
                <w:color w:val="000000"/>
                <w:kern w:val="0"/>
                <w:sz w:val="20"/>
                <w:szCs w:val="20"/>
              </w:rPr>
              <w:br/>
              <w:t>②资金的拨付有完整的审批程序和手续；</w:t>
            </w:r>
            <w:r>
              <w:rPr>
                <w:rFonts w:ascii="宋体" w:eastAsia="宋体" w:hAnsi="宋体" w:cs="宋体" w:hint="eastAsia"/>
                <w:color w:val="000000"/>
                <w:kern w:val="0"/>
                <w:sz w:val="20"/>
                <w:szCs w:val="20"/>
              </w:rPr>
              <w:br/>
              <w:t>③符合项目预算批复或合同规定的用途；</w:t>
            </w:r>
            <w:r>
              <w:rPr>
                <w:rFonts w:ascii="宋体" w:eastAsia="宋体" w:hAnsi="宋体" w:cs="宋体" w:hint="eastAsia"/>
                <w:color w:val="000000"/>
                <w:kern w:val="0"/>
                <w:sz w:val="20"/>
                <w:szCs w:val="20"/>
              </w:rPr>
              <w:br/>
              <w:t>④不得存在截留、挤占、挪用、虚列支出等情况。</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①是否符合国家财经法规和财务管理制度以及有关专项资金管理办法的规定；（3分）</w:t>
            </w:r>
            <w:r>
              <w:rPr>
                <w:rFonts w:ascii="宋体" w:eastAsia="宋体" w:hAnsi="宋体" w:cs="宋体" w:hint="eastAsia"/>
                <w:color w:val="000000"/>
                <w:kern w:val="0"/>
                <w:sz w:val="20"/>
                <w:szCs w:val="20"/>
              </w:rPr>
              <w:br/>
              <w:t>②资金的拨付是否有完整的审批程序和手续；（2分）</w:t>
            </w:r>
            <w:r>
              <w:rPr>
                <w:rFonts w:ascii="宋体" w:eastAsia="宋体" w:hAnsi="宋体" w:cs="宋体" w:hint="eastAsia"/>
                <w:color w:val="000000"/>
                <w:kern w:val="0"/>
                <w:sz w:val="20"/>
                <w:szCs w:val="20"/>
              </w:rPr>
              <w:br/>
              <w:t>③是否符合项目预算批复或合同规定的用途；（3分）</w:t>
            </w:r>
            <w:r>
              <w:rPr>
                <w:rFonts w:ascii="宋体" w:eastAsia="宋体" w:hAnsi="宋体" w:cs="宋体" w:hint="eastAsia"/>
                <w:color w:val="000000"/>
                <w:kern w:val="0"/>
                <w:sz w:val="20"/>
                <w:szCs w:val="20"/>
              </w:rPr>
              <w:br/>
              <w:t>④是否存在截留、挤占、挪用、虚列支出等情况。（2分）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符合财务管理制度及专项资金管理办法等规定，</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r>
      <w:tr w:rsidR="00614F99" w:rsidTr="001635D4">
        <w:trPr>
          <w:trHeight w:val="2445"/>
        </w:trPr>
        <w:tc>
          <w:tcPr>
            <w:tcW w:w="329" w:type="dxa"/>
            <w:vMerge w:val="restart"/>
            <w:tcBorders>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过程指标</w:t>
            </w: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资金管理有效性</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①是否已制定或出台相应的项目资金管理办法； ②是否已制定或出台相应的监督检查机制； ③是否采取了相应的监督检查措施或手段。</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①已制定或出台相应的项目资金管理办法； ②已制定或出台相应的监督检查机制； ③</w:t>
            </w:r>
            <w:r>
              <w:rPr>
                <w:rFonts w:ascii="宋体" w:eastAsia="宋体" w:hAnsi="宋体" w:cs="宋体" w:hint="eastAsia"/>
                <w:color w:val="000000"/>
                <w:kern w:val="0"/>
                <w:sz w:val="20"/>
                <w:szCs w:val="20"/>
              </w:rPr>
              <w:lastRenderedPageBreak/>
              <w:t>采取了相应的监督检查措施或手段。</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①是否已制定或出台相应的项目资金管理办法；（1分） ②是否已制定或出台相应的监督检查机制；（2分）</w:t>
            </w:r>
            <w:r>
              <w:rPr>
                <w:rFonts w:ascii="宋体" w:eastAsia="宋体" w:hAnsi="宋体" w:cs="宋体" w:hint="eastAsia"/>
                <w:color w:val="000000"/>
                <w:kern w:val="0"/>
                <w:sz w:val="20"/>
                <w:szCs w:val="20"/>
              </w:rPr>
              <w:br/>
              <w:t>③是否采取了相应的监督检查措施或手段。（2分）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制定出台了相关的制度和办法</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r>
      <w:tr w:rsidR="00614F99" w:rsidTr="001635D4">
        <w:trPr>
          <w:trHeight w:val="1530"/>
        </w:trPr>
        <w:tc>
          <w:tcPr>
            <w:tcW w:w="329" w:type="dxa"/>
            <w:vMerge/>
            <w:tcBorders>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项目结余资金使用情况</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项目结余资金是否继续按照资金管理办法确定范围安排使用。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项目结余资金继续按照资金管理办法确定范围安排使用。</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项目结余资金是否继续按照资金管理办法确定范围安排使用。（5分）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无结余</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r>
      <w:tr w:rsidR="00614F99" w:rsidTr="001635D4">
        <w:trPr>
          <w:trHeight w:val="1470"/>
        </w:trPr>
        <w:tc>
          <w:tcPr>
            <w:tcW w:w="329" w:type="dxa"/>
            <w:vMerge/>
            <w:tcBorders>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预算绩效材料报送及时性</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项目单位是否及时报送预算绩效管理工作相关材料</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项目单位及时报送预算绩效管理工作相关材料</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项目单位及时报送材料得5分，每晚报一次扣1分，扣完为止。</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按时报送</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r>
      <w:tr w:rsidR="00614F99" w:rsidTr="001635D4">
        <w:trPr>
          <w:trHeight w:val="2385"/>
        </w:trPr>
        <w:tc>
          <w:tcPr>
            <w:tcW w:w="329" w:type="dxa"/>
            <w:vMerge/>
            <w:tcBorders>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项目管理</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①项目是否执行招投标或政府采购制度； </w:t>
            </w:r>
            <w:r>
              <w:rPr>
                <w:rFonts w:ascii="宋体" w:eastAsia="宋体" w:hAnsi="宋体" w:cs="宋体" w:hint="eastAsia"/>
                <w:color w:val="000000"/>
                <w:kern w:val="0"/>
                <w:sz w:val="20"/>
                <w:szCs w:val="20"/>
              </w:rPr>
              <w:br/>
              <w:t>②项目是否已制定或具有相应的审核验收制度； ③项目是否在规定的时间内如期完工，并按规定对项目进行审核验收。</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①项目执行招投标或政府采购制度； </w:t>
            </w:r>
            <w:r>
              <w:rPr>
                <w:rFonts w:ascii="宋体" w:eastAsia="宋体" w:hAnsi="宋体" w:cs="宋体" w:hint="eastAsia"/>
                <w:color w:val="000000"/>
                <w:kern w:val="0"/>
                <w:sz w:val="20"/>
                <w:szCs w:val="20"/>
              </w:rPr>
              <w:br/>
              <w:t xml:space="preserve">②项目已制定或具有相应的审核验收制度； </w:t>
            </w:r>
            <w:r>
              <w:rPr>
                <w:rFonts w:ascii="宋体" w:eastAsia="宋体" w:hAnsi="宋体" w:cs="宋体" w:hint="eastAsia"/>
                <w:color w:val="000000"/>
                <w:kern w:val="0"/>
                <w:sz w:val="20"/>
                <w:szCs w:val="20"/>
              </w:rPr>
              <w:br/>
              <w:t>③项目在规定</w:t>
            </w:r>
            <w:r>
              <w:rPr>
                <w:rFonts w:ascii="宋体" w:eastAsia="宋体" w:hAnsi="宋体" w:cs="宋体" w:hint="eastAsia"/>
                <w:color w:val="000000"/>
                <w:kern w:val="0"/>
                <w:sz w:val="20"/>
                <w:szCs w:val="20"/>
              </w:rPr>
              <w:lastRenderedPageBreak/>
              <w:t>的时间内如期完工，并按规定对项目进行审核验收。</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①项目是否执行招投标或政府采购制度； （4分） ②项目是否已制定或具有相应的审核验收制度；（3分） ③项目是否在规定的时间内如期完工，并按规定对项目进行审核验收。（3分）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项目都按制度执行</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r>
      <w:tr w:rsidR="00614F99" w:rsidTr="001635D4">
        <w:trPr>
          <w:trHeight w:val="930"/>
        </w:trPr>
        <w:tc>
          <w:tcPr>
            <w:tcW w:w="3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产出指标</w:t>
            </w:r>
          </w:p>
        </w:tc>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数量指标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①科普教育基地；②群测群防点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①科普教育基地；②群测群防点</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①建立科普教育基地1个，得3分，没有0分；②建立群测群防点1个，有3分，没有0分。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6</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以2018年部门预算批复的绩效目标和指标为准</w:t>
            </w:r>
          </w:p>
        </w:tc>
      </w:tr>
      <w:tr w:rsidR="00614F99" w:rsidTr="001635D4">
        <w:trPr>
          <w:trHeight w:val="1500"/>
        </w:trPr>
        <w:tc>
          <w:tcPr>
            <w:tcW w:w="3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质量指标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①开展科普教育基地年内参观，扩大受教育人数；②群测群防点年内提供宏观观测点记录，通过动物异常、地下水异常及气象异常等，达到观测到的非常明显的异常现象。</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①150人/4次以上；②全年52周，每周1次。</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①150人*4次，每完成一次1分，共3分；②有记录表得3分，每缺少1次扣0.1分。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6</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r>
      <w:tr w:rsidR="00614F99" w:rsidTr="001635D4">
        <w:trPr>
          <w:trHeight w:val="720"/>
        </w:trPr>
        <w:tc>
          <w:tcPr>
            <w:tcW w:w="3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时效指标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年度内完成我市地震安全性评价工作和建设工程抗震设防确定工作。</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按国家标准建设</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有工作自评表，相关报送材料得2分，每缺少一样材料扣0.5分。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r>
      <w:tr w:rsidR="00614F99" w:rsidTr="001635D4">
        <w:trPr>
          <w:trHeight w:val="825"/>
        </w:trPr>
        <w:tc>
          <w:tcPr>
            <w:tcW w:w="3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时效指标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年度内完成</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年度内完成</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完成100%得2分，未完成100%得0分。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r>
      <w:tr w:rsidR="00614F99" w:rsidTr="001635D4">
        <w:trPr>
          <w:trHeight w:val="825"/>
        </w:trPr>
        <w:tc>
          <w:tcPr>
            <w:tcW w:w="3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成本指标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项目支出成本</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5万元</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超出成本不得分。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r>
      <w:tr w:rsidR="00614F99" w:rsidTr="001635D4">
        <w:trPr>
          <w:trHeight w:val="975"/>
        </w:trPr>
        <w:tc>
          <w:tcPr>
            <w:tcW w:w="329" w:type="dxa"/>
            <w:vMerge w:val="restart"/>
            <w:tcBorders>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社会效益指标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提升大众防震减灾意识，强化防震减灾预报工作。</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优秀、良好、一般、差</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优秀4分，良好3分，一般2分，差0分。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4</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r>
      <w:tr w:rsidR="00614F99" w:rsidTr="001635D4">
        <w:trPr>
          <w:trHeight w:val="975"/>
        </w:trPr>
        <w:tc>
          <w:tcPr>
            <w:tcW w:w="329" w:type="dxa"/>
            <w:vMerge/>
            <w:tcBorders>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可持续影响指标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逐步提高防震减灾意识</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优秀、良好、一般、差</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优秀4分，良好3分，一般2分，差0分。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4</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r>
      <w:tr w:rsidR="00614F99" w:rsidTr="001635D4">
        <w:trPr>
          <w:trHeight w:val="1155"/>
        </w:trPr>
        <w:tc>
          <w:tcPr>
            <w:tcW w:w="329" w:type="dxa"/>
            <w:vMerge/>
            <w:tcBorders>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服务对象满意度指标</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科普教育基地满意效果以参观人员满意度为评议宣传教育效果，采用等次评分法，共40人。</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调查满意度</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满意率在90%以上得3分，每少</w:t>
            </w:r>
            <w:proofErr w:type="gramStart"/>
            <w:r>
              <w:rPr>
                <w:rFonts w:ascii="宋体" w:eastAsia="宋体" w:hAnsi="宋体" w:cs="宋体" w:hint="eastAsia"/>
                <w:color w:val="000000"/>
                <w:kern w:val="0"/>
                <w:sz w:val="20"/>
                <w:szCs w:val="20"/>
              </w:rPr>
              <w:t>一个点扣1分</w:t>
            </w:r>
            <w:proofErr w:type="gramEnd"/>
            <w:r>
              <w:rPr>
                <w:rFonts w:ascii="宋体" w:eastAsia="宋体" w:hAnsi="宋体" w:cs="宋体" w:hint="eastAsia"/>
                <w:color w:val="000000"/>
                <w:kern w:val="0"/>
                <w:sz w:val="20"/>
                <w:szCs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0"/>
                <w:szCs w:val="20"/>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仿宋_GB2312" w:eastAsia="仿宋_GB2312" w:hAnsi="宋体" w:cs="仿宋_GB2312"/>
                <w:color w:val="000000"/>
                <w:sz w:val="20"/>
                <w:szCs w:val="20"/>
              </w:rPr>
            </w:pPr>
          </w:p>
        </w:tc>
      </w:tr>
      <w:tr w:rsidR="00614F99" w:rsidTr="001635D4">
        <w:trPr>
          <w:trHeight w:val="735"/>
        </w:trPr>
        <w:tc>
          <w:tcPr>
            <w:tcW w:w="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center"/>
              <w:rPr>
                <w:rFonts w:ascii="宋体" w:eastAsia="宋体" w:hAnsi="宋体" w:cs="宋体"/>
                <w:color w:val="000000"/>
                <w:sz w:val="20"/>
                <w:szCs w:val="20"/>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jc w:val="left"/>
              <w:rPr>
                <w:rFonts w:ascii="宋体" w:eastAsia="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widowControl/>
              <w:spacing w:line="30" w:lineRule="atLeast"/>
              <w:jc w:val="center"/>
              <w:textAlignment w:val="center"/>
              <w:rPr>
                <w:rFonts w:ascii="宋体" w:eastAsia="宋体" w:hAnsi="宋体" w:cs="宋体"/>
                <w:color w:val="000000"/>
                <w:sz w:val="24"/>
              </w:rPr>
            </w:pPr>
            <w:r>
              <w:rPr>
                <w:rFonts w:ascii="宋体" w:eastAsia="宋体" w:hAnsi="宋体" w:cs="宋体" w:hint="eastAsia"/>
                <w:color w:val="000000"/>
                <w:kern w:val="0"/>
                <w:sz w:val="24"/>
              </w:rPr>
              <w:t>100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4"/>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99" w:rsidRDefault="00614F99" w:rsidP="001635D4">
            <w:pPr>
              <w:rPr>
                <w:rFonts w:ascii="宋体" w:eastAsia="宋体" w:hAnsi="宋体" w:cs="宋体"/>
                <w:color w:val="000000"/>
                <w:sz w:val="24"/>
              </w:rPr>
            </w:pPr>
          </w:p>
        </w:tc>
      </w:tr>
    </w:tbl>
    <w:p w:rsidR="007537B7" w:rsidRDefault="007537B7">
      <w:bookmarkStart w:id="0" w:name="_GoBack"/>
      <w:bookmarkEnd w:id="0"/>
    </w:p>
    <w:sectPr w:rsidR="00753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99"/>
    <w:rsid w:val="00614F99"/>
    <w:rsid w:val="0075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75EA8-9B94-405A-8D72-7830EE2F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F9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41">
    <w:name w:val="font41"/>
    <w:basedOn w:val="a0"/>
    <w:rsid w:val="00614F99"/>
    <w:rPr>
      <w:rFonts w:ascii="仿宋_GB2312" w:eastAsia="仿宋_GB2312" w:cs="仿宋_GB2312"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cp:revision>
  <dcterms:created xsi:type="dcterms:W3CDTF">2021-06-15T02:33:00Z</dcterms:created>
  <dcterms:modified xsi:type="dcterms:W3CDTF">2021-06-15T02:33:00Z</dcterms:modified>
</cp:coreProperties>
</file>