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99" w:type="dxa"/>
        <w:tblCellSpacing w:w="0" w:type="dxa"/>
        <w:tblInd w:w="315" w:type="dxa"/>
        <w:tblLayout w:type="fixed"/>
        <w:tblCellMar>
          <w:left w:w="0" w:type="dxa"/>
          <w:right w:w="0" w:type="dxa"/>
        </w:tblCellMar>
        <w:tblLook w:val="04A0" w:firstRow="1" w:lastRow="0" w:firstColumn="1" w:lastColumn="0" w:noHBand="0" w:noVBand="1"/>
      </w:tblPr>
      <w:tblGrid>
        <w:gridCol w:w="1390"/>
        <w:gridCol w:w="900"/>
        <w:gridCol w:w="891"/>
        <w:gridCol w:w="249"/>
        <w:gridCol w:w="21"/>
        <w:gridCol w:w="90"/>
        <w:gridCol w:w="894"/>
        <w:gridCol w:w="585"/>
        <w:gridCol w:w="993"/>
        <w:gridCol w:w="522"/>
        <w:gridCol w:w="210"/>
        <w:gridCol w:w="768"/>
        <w:gridCol w:w="645"/>
        <w:gridCol w:w="253"/>
        <w:gridCol w:w="288"/>
      </w:tblGrid>
      <w:tr w:rsidR="000D2B9F" w:rsidTr="00267F17">
        <w:trPr>
          <w:gridAfter w:val="2"/>
          <w:wAfter w:w="541" w:type="dxa"/>
          <w:trHeight w:val="570"/>
          <w:tblCellSpacing w:w="0" w:type="dxa"/>
        </w:trPr>
        <w:tc>
          <w:tcPr>
            <w:tcW w:w="8158" w:type="dxa"/>
            <w:gridSpan w:val="1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预算绩效目标表</w:t>
            </w:r>
          </w:p>
        </w:tc>
      </w:tr>
      <w:tr w:rsidR="000D2B9F" w:rsidTr="00267F17">
        <w:trPr>
          <w:gridAfter w:val="2"/>
          <w:wAfter w:w="541" w:type="dxa"/>
          <w:trHeight w:val="316"/>
          <w:tblCellSpacing w:w="0" w:type="dxa"/>
        </w:trPr>
        <w:tc>
          <w:tcPr>
            <w:tcW w:w="8158" w:type="dxa"/>
            <w:gridSpan w:val="1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(2019年度)</w:t>
            </w:r>
          </w:p>
        </w:tc>
      </w:tr>
      <w:tr w:rsidR="000D2B9F" w:rsidTr="00267F17">
        <w:trPr>
          <w:gridAfter w:val="2"/>
          <w:wAfter w:w="541" w:type="dxa"/>
          <w:trHeight w:val="360"/>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填报单位：</w:t>
            </w:r>
          </w:p>
        </w:tc>
        <w:tc>
          <w:tcPr>
            <w:tcW w:w="6768" w:type="dxa"/>
            <w:gridSpan w:val="1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中国共产党桂林市委宣传部</w:t>
            </w:r>
          </w:p>
        </w:tc>
      </w:tr>
      <w:tr w:rsidR="000D2B9F" w:rsidTr="00267F17">
        <w:trPr>
          <w:gridAfter w:val="2"/>
          <w:wAfter w:w="541" w:type="dxa"/>
          <w:trHeight w:val="480"/>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项目名称</w:t>
            </w:r>
          </w:p>
        </w:tc>
        <w:tc>
          <w:tcPr>
            <w:tcW w:w="3045" w:type="dxa"/>
            <w:gridSpan w:val="6"/>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桂林市对外宣传工作经费</w:t>
            </w:r>
          </w:p>
        </w:tc>
        <w:tc>
          <w:tcPr>
            <w:tcW w:w="2100"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项目类型</w:t>
            </w:r>
          </w:p>
        </w:tc>
        <w:tc>
          <w:tcPr>
            <w:tcW w:w="1623"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经常性项目</w:t>
            </w:r>
          </w:p>
        </w:tc>
      </w:tr>
      <w:tr w:rsidR="000D2B9F" w:rsidTr="00267F17">
        <w:trPr>
          <w:gridAfter w:val="2"/>
          <w:wAfter w:w="541" w:type="dxa"/>
          <w:trHeight w:val="480"/>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主管部门编码</w:t>
            </w:r>
          </w:p>
        </w:tc>
        <w:tc>
          <w:tcPr>
            <w:tcW w:w="90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031</w:t>
            </w:r>
          </w:p>
        </w:tc>
        <w:tc>
          <w:tcPr>
            <w:tcW w:w="114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主管部门名称</w:t>
            </w:r>
          </w:p>
        </w:tc>
        <w:tc>
          <w:tcPr>
            <w:tcW w:w="4728" w:type="dxa"/>
            <w:gridSpan w:val="9"/>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中国共产党桂林市委宣传部</w:t>
            </w:r>
          </w:p>
        </w:tc>
      </w:tr>
      <w:tr w:rsidR="000D2B9F" w:rsidTr="00267F17">
        <w:trPr>
          <w:gridAfter w:val="2"/>
          <w:wAfter w:w="541" w:type="dxa"/>
          <w:trHeight w:val="480"/>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项目实施单位</w:t>
            </w:r>
          </w:p>
        </w:tc>
        <w:tc>
          <w:tcPr>
            <w:tcW w:w="90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外宣办</w:t>
            </w:r>
          </w:p>
        </w:tc>
        <w:tc>
          <w:tcPr>
            <w:tcW w:w="114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项目负责人</w:t>
            </w:r>
          </w:p>
        </w:tc>
        <w:tc>
          <w:tcPr>
            <w:tcW w:w="100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王昊</w:t>
            </w:r>
          </w:p>
        </w:tc>
        <w:tc>
          <w:tcPr>
            <w:tcW w:w="2100"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联系电话</w:t>
            </w:r>
          </w:p>
        </w:tc>
        <w:tc>
          <w:tcPr>
            <w:tcW w:w="1623"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2825244</w:t>
            </w:r>
          </w:p>
        </w:tc>
      </w:tr>
      <w:tr w:rsidR="000D2B9F" w:rsidTr="00267F17">
        <w:trPr>
          <w:gridAfter w:val="2"/>
          <w:wAfter w:w="541" w:type="dxa"/>
          <w:trHeight w:val="1020"/>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项目起止时间（如20180101 到 20181231）</w:t>
            </w:r>
          </w:p>
        </w:tc>
        <w:tc>
          <w:tcPr>
            <w:tcW w:w="90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20180101</w:t>
            </w:r>
          </w:p>
        </w:tc>
        <w:tc>
          <w:tcPr>
            <w:tcW w:w="114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w:t>
            </w:r>
          </w:p>
        </w:tc>
        <w:tc>
          <w:tcPr>
            <w:tcW w:w="4728" w:type="dxa"/>
            <w:gridSpan w:val="9"/>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20181231</w:t>
            </w:r>
          </w:p>
        </w:tc>
      </w:tr>
      <w:tr w:rsidR="000D2B9F" w:rsidTr="00267F17">
        <w:trPr>
          <w:gridAfter w:val="2"/>
          <w:wAfter w:w="541" w:type="dxa"/>
          <w:trHeight w:val="480"/>
          <w:tblCellSpacing w:w="0" w:type="dxa"/>
        </w:trPr>
        <w:tc>
          <w:tcPr>
            <w:tcW w:w="1390" w:type="dxa"/>
            <w:vMerge w:val="restart"/>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项目资金申请(万元)</w:t>
            </w:r>
          </w:p>
        </w:tc>
        <w:tc>
          <w:tcPr>
            <w:tcW w:w="2040"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资金总额:</w:t>
            </w:r>
          </w:p>
        </w:tc>
        <w:tc>
          <w:tcPr>
            <w:tcW w:w="4728" w:type="dxa"/>
            <w:gridSpan w:val="9"/>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90</w:t>
            </w:r>
          </w:p>
        </w:tc>
      </w:tr>
      <w:tr w:rsidR="000D2B9F" w:rsidTr="00267F17">
        <w:trPr>
          <w:gridAfter w:val="2"/>
          <w:wAfter w:w="541" w:type="dxa"/>
          <w:trHeight w:val="480"/>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2040"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一般公共预算拨款:</w:t>
            </w:r>
          </w:p>
        </w:tc>
        <w:tc>
          <w:tcPr>
            <w:tcW w:w="4728" w:type="dxa"/>
            <w:gridSpan w:val="9"/>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90</w:t>
            </w:r>
          </w:p>
        </w:tc>
      </w:tr>
      <w:tr w:rsidR="000D2B9F" w:rsidTr="00267F17">
        <w:trPr>
          <w:gridAfter w:val="2"/>
          <w:wAfter w:w="541" w:type="dxa"/>
          <w:trHeight w:val="480"/>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2040"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政府性基金预算拨款:</w:t>
            </w:r>
          </w:p>
        </w:tc>
        <w:tc>
          <w:tcPr>
            <w:tcW w:w="4728" w:type="dxa"/>
            <w:gridSpan w:val="9"/>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r>
      <w:tr w:rsidR="000D2B9F" w:rsidTr="00267F17">
        <w:trPr>
          <w:gridAfter w:val="2"/>
          <w:wAfter w:w="541" w:type="dxa"/>
          <w:trHeight w:val="480"/>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2040"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国有资本经营预算拨款:</w:t>
            </w:r>
          </w:p>
        </w:tc>
        <w:tc>
          <w:tcPr>
            <w:tcW w:w="4728" w:type="dxa"/>
            <w:gridSpan w:val="9"/>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r>
      <w:tr w:rsidR="000D2B9F" w:rsidTr="00267F17">
        <w:trPr>
          <w:gridAfter w:val="2"/>
          <w:wAfter w:w="541" w:type="dxa"/>
          <w:trHeight w:val="480"/>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2040"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纳入财政专户管理的收入:</w:t>
            </w:r>
          </w:p>
        </w:tc>
        <w:tc>
          <w:tcPr>
            <w:tcW w:w="4728" w:type="dxa"/>
            <w:gridSpan w:val="9"/>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r>
      <w:tr w:rsidR="000D2B9F" w:rsidTr="00267F17">
        <w:trPr>
          <w:gridAfter w:val="2"/>
          <w:wAfter w:w="541" w:type="dxa"/>
          <w:trHeight w:val="480"/>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2040"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未纳入财政专户管理的收入:</w:t>
            </w:r>
          </w:p>
        </w:tc>
        <w:tc>
          <w:tcPr>
            <w:tcW w:w="4728" w:type="dxa"/>
            <w:gridSpan w:val="9"/>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r>
      <w:tr w:rsidR="000D2B9F" w:rsidTr="00267F17">
        <w:trPr>
          <w:gridAfter w:val="2"/>
          <w:wAfter w:w="541" w:type="dxa"/>
          <w:trHeight w:val="480"/>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2040"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上年结余收入:</w:t>
            </w:r>
          </w:p>
        </w:tc>
        <w:tc>
          <w:tcPr>
            <w:tcW w:w="4728" w:type="dxa"/>
            <w:gridSpan w:val="9"/>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r>
      <w:tr w:rsidR="000D2B9F" w:rsidTr="00267F17">
        <w:trPr>
          <w:gridAfter w:val="2"/>
          <w:wAfter w:w="541" w:type="dxa"/>
          <w:trHeight w:val="780"/>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单位职能概述</w:t>
            </w:r>
          </w:p>
        </w:tc>
        <w:tc>
          <w:tcPr>
            <w:tcW w:w="6768" w:type="dxa"/>
            <w:gridSpan w:val="1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负责我市对内对外宣传工作</w:t>
            </w:r>
          </w:p>
        </w:tc>
      </w:tr>
      <w:tr w:rsidR="000D2B9F" w:rsidTr="00267F17">
        <w:trPr>
          <w:gridAfter w:val="2"/>
          <w:wAfter w:w="541" w:type="dxa"/>
          <w:trHeight w:val="780"/>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项目概况</w:t>
            </w:r>
          </w:p>
        </w:tc>
        <w:tc>
          <w:tcPr>
            <w:tcW w:w="6768" w:type="dxa"/>
            <w:gridSpan w:val="1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 xml:space="preserve">1接待媒体记者来桂林采访2负责我市在市外主流媒体上宣传. </w:t>
            </w:r>
          </w:p>
        </w:tc>
      </w:tr>
      <w:tr w:rsidR="000D2B9F" w:rsidTr="00267F17">
        <w:trPr>
          <w:gridAfter w:val="2"/>
          <w:wAfter w:w="541" w:type="dxa"/>
          <w:trHeight w:val="780"/>
          <w:tblCellSpacing w:w="0" w:type="dxa"/>
        </w:trPr>
        <w:tc>
          <w:tcPr>
            <w:tcW w:w="1390" w:type="dxa"/>
            <w:vMerge w:val="restart"/>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项目立项情况</w:t>
            </w:r>
          </w:p>
        </w:tc>
        <w:tc>
          <w:tcPr>
            <w:tcW w:w="90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项目立项的依据</w:t>
            </w:r>
          </w:p>
        </w:tc>
        <w:tc>
          <w:tcPr>
            <w:tcW w:w="5868" w:type="dxa"/>
            <w:gridSpan w:val="11"/>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根据市委和政府要求开展工作加大我市对外宣传力度.</w:t>
            </w:r>
          </w:p>
        </w:tc>
      </w:tr>
      <w:tr w:rsidR="000D2B9F" w:rsidTr="00267F17">
        <w:trPr>
          <w:gridAfter w:val="2"/>
          <w:wAfter w:w="541" w:type="dxa"/>
          <w:trHeight w:val="780"/>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项目申报的可行性</w:t>
            </w:r>
          </w:p>
        </w:tc>
        <w:tc>
          <w:tcPr>
            <w:tcW w:w="5868" w:type="dxa"/>
            <w:gridSpan w:val="11"/>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proofErr w:type="gramStart"/>
            <w:r>
              <w:rPr>
                <w:rFonts w:ascii="宋体" w:eastAsia="宋体" w:hAnsi="宋体" w:cs="宋体" w:hint="eastAsia"/>
                <w:color w:val="666666"/>
                <w:sz w:val="21"/>
                <w:szCs w:val="21"/>
              </w:rPr>
              <w:t>宣项目</w:t>
            </w:r>
            <w:proofErr w:type="gramEnd"/>
            <w:r>
              <w:rPr>
                <w:rFonts w:ascii="宋体" w:eastAsia="宋体" w:hAnsi="宋体" w:cs="宋体" w:hint="eastAsia"/>
                <w:color w:val="666666"/>
                <w:sz w:val="21"/>
                <w:szCs w:val="21"/>
              </w:rPr>
              <w:t xml:space="preserve">宣传可在市外主流媒体上进行  . </w:t>
            </w:r>
          </w:p>
        </w:tc>
      </w:tr>
      <w:tr w:rsidR="000D2B9F" w:rsidTr="00267F17">
        <w:trPr>
          <w:gridAfter w:val="2"/>
          <w:wAfter w:w="541" w:type="dxa"/>
          <w:trHeight w:val="780"/>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项目申报的必要性</w:t>
            </w:r>
          </w:p>
        </w:tc>
        <w:tc>
          <w:tcPr>
            <w:tcW w:w="5868" w:type="dxa"/>
            <w:gridSpan w:val="11"/>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带动更多的人到桂林投资旅游.</w:t>
            </w:r>
          </w:p>
        </w:tc>
      </w:tr>
      <w:tr w:rsidR="000D2B9F" w:rsidTr="00267F17">
        <w:trPr>
          <w:gridAfter w:val="2"/>
          <w:wAfter w:w="541" w:type="dxa"/>
          <w:trHeight w:val="780"/>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lastRenderedPageBreak/>
              <w:t>项目实施进度计划</w:t>
            </w:r>
          </w:p>
        </w:tc>
        <w:tc>
          <w:tcPr>
            <w:tcW w:w="6768" w:type="dxa"/>
            <w:gridSpan w:val="1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对外宣传</w:t>
            </w:r>
          </w:p>
        </w:tc>
      </w:tr>
      <w:tr w:rsidR="000D2B9F" w:rsidTr="00267F17">
        <w:trPr>
          <w:gridAfter w:val="2"/>
          <w:wAfter w:w="541" w:type="dxa"/>
          <w:trHeight w:val="345"/>
          <w:tblCellSpacing w:w="0" w:type="dxa"/>
        </w:trPr>
        <w:tc>
          <w:tcPr>
            <w:tcW w:w="1390" w:type="dxa"/>
            <w:vMerge w:val="restart"/>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项目绩效目标</w:t>
            </w:r>
          </w:p>
        </w:tc>
        <w:tc>
          <w:tcPr>
            <w:tcW w:w="1791"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长期目标</w:t>
            </w:r>
          </w:p>
        </w:tc>
        <w:tc>
          <w:tcPr>
            <w:tcW w:w="4977" w:type="dxa"/>
            <w:gridSpan w:val="10"/>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年度目标</w:t>
            </w:r>
          </w:p>
        </w:tc>
      </w:tr>
      <w:tr w:rsidR="000D2B9F" w:rsidTr="00267F17">
        <w:trPr>
          <w:gridAfter w:val="2"/>
          <w:wAfter w:w="541" w:type="dxa"/>
          <w:trHeight w:val="825"/>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1791"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 xml:space="preserve">提高我市在全国及全世界的知名度 </w:t>
            </w:r>
          </w:p>
        </w:tc>
        <w:tc>
          <w:tcPr>
            <w:tcW w:w="4977" w:type="dxa"/>
            <w:gridSpan w:val="10"/>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 xml:space="preserve">完成接待记者300人   </w:t>
            </w:r>
          </w:p>
        </w:tc>
      </w:tr>
      <w:tr w:rsidR="000D2B9F" w:rsidTr="00267F17">
        <w:trPr>
          <w:gridAfter w:val="1"/>
          <w:wAfter w:w="288" w:type="dxa"/>
          <w:trHeight w:val="271"/>
          <w:tblCellSpacing w:w="0" w:type="dxa"/>
        </w:trPr>
        <w:tc>
          <w:tcPr>
            <w:tcW w:w="1390" w:type="dxa"/>
            <w:vMerge w:val="restart"/>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项目年度绩效目标衡量指标</w:t>
            </w:r>
          </w:p>
        </w:tc>
        <w:tc>
          <w:tcPr>
            <w:tcW w:w="90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一级指标</w:t>
            </w: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二级指标</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分值</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指标内容</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指标值</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评分细则</w:t>
            </w:r>
          </w:p>
        </w:tc>
      </w:tr>
      <w:tr w:rsidR="000D2B9F" w:rsidTr="00267F17">
        <w:trPr>
          <w:gridAfter w:val="1"/>
          <w:wAfter w:w="288" w:type="dxa"/>
          <w:trHeight w:val="1095"/>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val="restart"/>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投入指标</w:t>
            </w: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资金到位率</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资金到位率=（实际到位资金/计划投入资金）×100%。</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资金到位率达100%</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到位率100%得5分，每少10个百分点以内扣1分，扣完为止。</w:t>
            </w:r>
          </w:p>
        </w:tc>
      </w:tr>
      <w:tr w:rsidR="000D2B9F" w:rsidTr="00267F17">
        <w:trPr>
          <w:gridAfter w:val="1"/>
          <w:wAfter w:w="288" w:type="dxa"/>
          <w:trHeight w:val="1185"/>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预算支出进度</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15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预算支出进度是否达到90%以上。</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预算支出进度达到90%以上</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预算支出进度达到90%以上（含90%）得15分,每少1个百分点扣1分，扣完为止。</w:t>
            </w:r>
          </w:p>
        </w:tc>
      </w:tr>
      <w:tr w:rsidR="000D2B9F" w:rsidTr="00267F17">
        <w:trPr>
          <w:gridAfter w:val="1"/>
          <w:wAfter w:w="288" w:type="dxa"/>
          <w:trHeight w:val="1576"/>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val="restart"/>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过程指标</w:t>
            </w: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项目资金专项核算</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专项资金是否按《行政单位财务规则》和《事业单位财务规则》专款专用，专项核算。</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专项资金必须按《行政单位财务规则》和《事业单位财务规则》专款专用，专项核算</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专项资金按《行政单位财务规则》和《事业单位财务规则》专款专用得2分，专项核算得3分，否则0分。</w:t>
            </w:r>
          </w:p>
        </w:tc>
      </w:tr>
      <w:tr w:rsidR="000D2B9F" w:rsidTr="00267F17">
        <w:trPr>
          <w:gridAfter w:val="1"/>
          <w:wAfter w:w="288" w:type="dxa"/>
          <w:trHeight w:val="3826"/>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资金使用合</w:t>
            </w:r>
            <w:proofErr w:type="gramStart"/>
            <w:r>
              <w:rPr>
                <w:rFonts w:ascii="宋体" w:eastAsia="宋体" w:hAnsi="宋体" w:cs="宋体" w:hint="eastAsia"/>
                <w:color w:val="666666"/>
                <w:sz w:val="21"/>
                <w:szCs w:val="21"/>
              </w:rPr>
              <w:t>规</w:t>
            </w:r>
            <w:proofErr w:type="gramEnd"/>
            <w:r>
              <w:rPr>
                <w:rFonts w:ascii="宋体" w:eastAsia="宋体" w:hAnsi="宋体" w:cs="宋体" w:hint="eastAsia"/>
                <w:color w:val="666666"/>
                <w:sz w:val="21"/>
                <w:szCs w:val="21"/>
              </w:rPr>
              <w:t>性</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10</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①是否符合国家财经法规和财务管理制度以及有关专项资金管理办法的规定；</w:t>
            </w:r>
            <w:r>
              <w:rPr>
                <w:rFonts w:ascii="宋体" w:eastAsia="宋体" w:hAnsi="宋体" w:cs="宋体" w:hint="eastAsia"/>
                <w:color w:val="666666"/>
                <w:sz w:val="21"/>
                <w:szCs w:val="21"/>
              </w:rPr>
              <w:br/>
              <w:t>②资金的拨付是否有完整的审批程序和手续；</w:t>
            </w:r>
            <w:r>
              <w:rPr>
                <w:rFonts w:ascii="宋体" w:eastAsia="宋体" w:hAnsi="宋体" w:cs="宋体" w:hint="eastAsia"/>
                <w:color w:val="666666"/>
                <w:sz w:val="21"/>
                <w:szCs w:val="21"/>
              </w:rPr>
              <w:br/>
              <w:t>③是否符合项目预算批复或合同规定的用途；</w:t>
            </w:r>
            <w:r>
              <w:rPr>
                <w:rFonts w:ascii="宋体" w:eastAsia="宋体" w:hAnsi="宋体" w:cs="宋体" w:hint="eastAsia"/>
                <w:color w:val="666666"/>
                <w:sz w:val="21"/>
                <w:szCs w:val="21"/>
              </w:rPr>
              <w:br/>
              <w:t>④是否存在截留、挤占、挪用、虚列支出等情况。</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①符合国家财经法规和财务管理制度以及有关专项资金管理办法的规定；</w:t>
            </w:r>
            <w:r>
              <w:rPr>
                <w:rFonts w:ascii="宋体" w:eastAsia="宋体" w:hAnsi="宋体" w:cs="宋体" w:hint="eastAsia"/>
                <w:color w:val="666666"/>
                <w:sz w:val="21"/>
                <w:szCs w:val="21"/>
              </w:rPr>
              <w:br/>
              <w:t>②资金的拨付有完整的审批程序和手续；</w:t>
            </w:r>
            <w:r>
              <w:rPr>
                <w:rFonts w:ascii="宋体" w:eastAsia="宋体" w:hAnsi="宋体" w:cs="宋体" w:hint="eastAsia"/>
                <w:color w:val="666666"/>
                <w:sz w:val="21"/>
                <w:szCs w:val="21"/>
              </w:rPr>
              <w:br/>
              <w:t>③符合项目预算批复或合同规定的用途；</w:t>
            </w:r>
            <w:r>
              <w:rPr>
                <w:rFonts w:ascii="宋体" w:eastAsia="宋体" w:hAnsi="宋体" w:cs="宋体" w:hint="eastAsia"/>
                <w:color w:val="666666"/>
                <w:sz w:val="21"/>
                <w:szCs w:val="21"/>
              </w:rPr>
              <w:br/>
              <w:t>④不得存在截留、挤占、挪用、虚列支出等情况。</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①是否符合国家财经法规和财务管理制度以及有关专项资金管理办法的规定；（3分）</w:t>
            </w:r>
            <w:r>
              <w:rPr>
                <w:rFonts w:ascii="宋体" w:eastAsia="宋体" w:hAnsi="宋体" w:cs="宋体" w:hint="eastAsia"/>
                <w:color w:val="666666"/>
                <w:sz w:val="21"/>
                <w:szCs w:val="21"/>
              </w:rPr>
              <w:br/>
              <w:t>②资金的拨付是否有完整的审批程序和手续；（2分）</w:t>
            </w:r>
            <w:r>
              <w:rPr>
                <w:rFonts w:ascii="宋体" w:eastAsia="宋体" w:hAnsi="宋体" w:cs="宋体" w:hint="eastAsia"/>
                <w:color w:val="666666"/>
                <w:sz w:val="21"/>
                <w:szCs w:val="21"/>
              </w:rPr>
              <w:br/>
              <w:t>③是否符合项目预算批复或合同规定的用途；（3分）</w:t>
            </w:r>
            <w:r>
              <w:rPr>
                <w:rFonts w:ascii="宋体" w:eastAsia="宋体" w:hAnsi="宋体" w:cs="宋体" w:hint="eastAsia"/>
                <w:color w:val="666666"/>
                <w:sz w:val="21"/>
                <w:szCs w:val="21"/>
              </w:rPr>
              <w:br/>
              <w:t>④是否存在截留、挤占、挪用、虚列支出等情况。（2分）</w:t>
            </w:r>
          </w:p>
        </w:tc>
      </w:tr>
      <w:tr w:rsidR="000D2B9F" w:rsidTr="00267F17">
        <w:trPr>
          <w:gridAfter w:val="1"/>
          <w:wAfter w:w="288" w:type="dxa"/>
          <w:trHeight w:val="282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资金管理有效性</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①是否已制定或出台相应的项目资金管理办法；         ②是否已制定或出台相应的监督检查机制；             ③是否采取了相应的监督检查措施或手段。</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 xml:space="preserve">①已制定或出台相应的项目资金管理办法；         </w:t>
            </w:r>
            <w:r>
              <w:rPr>
                <w:rFonts w:ascii="宋体" w:eastAsia="宋体" w:hAnsi="宋体" w:cs="宋体" w:hint="eastAsia"/>
                <w:color w:val="666666"/>
                <w:sz w:val="21"/>
                <w:szCs w:val="21"/>
              </w:rPr>
              <w:br/>
              <w:t>  ②已制定或出台相应的监督检查机制；    ③采取了相应的监督检查措施或手段。</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 xml:space="preserve">①是否已制定或出台相应的项目资金管理办法；（1分）            </w:t>
            </w:r>
            <w:r>
              <w:rPr>
                <w:rFonts w:ascii="宋体" w:eastAsia="宋体" w:hAnsi="宋体" w:cs="宋体" w:hint="eastAsia"/>
                <w:color w:val="666666"/>
                <w:sz w:val="21"/>
                <w:szCs w:val="21"/>
              </w:rPr>
              <w:br/>
              <w:t>  ②是否已制定或出台相应的监督检查机制；（2分）</w:t>
            </w:r>
            <w:r>
              <w:rPr>
                <w:rFonts w:ascii="宋体" w:eastAsia="宋体" w:hAnsi="宋体" w:cs="宋体" w:hint="eastAsia"/>
                <w:color w:val="666666"/>
                <w:sz w:val="21"/>
                <w:szCs w:val="21"/>
              </w:rPr>
              <w:br/>
              <w:t>③是否采取了相应的监督检查措施或手段。（2分）</w:t>
            </w:r>
          </w:p>
        </w:tc>
      </w:tr>
      <w:tr w:rsidR="000D2B9F" w:rsidTr="00267F17">
        <w:trPr>
          <w:gridAfter w:val="1"/>
          <w:wAfter w:w="288" w:type="dxa"/>
          <w:trHeight w:val="189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项目结余资金使用情况</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项目结余资金是否继续按照资金管理办法确定范围安排使用。</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项目结余资金继续按照资金管理办法确定范围安排使用。</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项目结余资金是否继续按照资金管理办法确定范围安排使用。（5分）</w:t>
            </w:r>
          </w:p>
        </w:tc>
      </w:tr>
      <w:tr w:rsidR="000D2B9F" w:rsidTr="00267F17">
        <w:trPr>
          <w:gridAfter w:val="1"/>
          <w:wAfter w:w="288" w:type="dxa"/>
          <w:trHeight w:val="189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预算绩效材料报送及时性</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项目单位是否及时报送预算绩效管理工作相关材料</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项目单位及时报送预算绩效管理工作相关材料</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项目单位及时报送材料得5分，每晚报一次扣1分，扣完为止。</w:t>
            </w:r>
          </w:p>
        </w:tc>
      </w:tr>
      <w:tr w:rsidR="000D2B9F" w:rsidTr="00267F17">
        <w:trPr>
          <w:gridAfter w:val="1"/>
          <w:wAfter w:w="288" w:type="dxa"/>
          <w:trHeight w:val="2626"/>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项目管理</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10</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①项目是否执行招投标或政府采购制度；               ②项目是否已制定或具有相应的审核验收制度；         ③项目是否在规定的时间内如期完工，并按规定对项目进行审核验收。</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①项目执行招投标或政府采购制度； ②项目已制定或具有相应的审核验收制度；          ③项目在规定的时间内如期完工，并按规定对项目进行审核验收。</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①项目是否执行招投标或政府采购制度； （4分）       ②项目是否已制定或具有相应的审核验收制度；（3分） ③项目是否在规定的时间内如期完工，并按规定对项目进行审核验收。（3分）</w:t>
            </w: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val="restart"/>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产出指标（每项二级指标均必填。）</w:t>
            </w: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产出数量</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1.年接待记者300人.2在市外主流媒体每年作4个专版.</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指标值完成100%</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完成任务100%得5分.每少10百分点以内扣0.5</w:t>
            </w: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产出质量</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登上主流媒体版面2接待记者服务到位</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指标值完成100%</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完成任务100%得5分.每少10百分点以内扣0.5</w:t>
            </w: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产出时效</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扩大桂林影响力.2展示桂林新形象.</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指标值完成100%</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完成任务100%得5分.每少10百分点以内扣0.5</w:t>
            </w: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产出成本</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据接待记者人数和报道专题专版数完成预算指标</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指标值完成100%</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完成任务100%得5分.每少10百分点以内扣0.5</w:t>
            </w: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val="restart"/>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效益指标（至少选择其中一种填写。）</w:t>
            </w: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经济效益</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10</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通过宣传吸引更多海内外游客来桂林旅游消费</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扩大桂林知名度 提高我市曝光率</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完成任务100%得10分.每少10百分点以内扣0.5</w:t>
            </w: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社会效益</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10</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让百姓有更多获得感</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桂林百姓知晓度提高</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完成任务100%得10分.每少10百分点以内扣0.5</w:t>
            </w: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可持续影响</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不断让游客了解桂林</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 xml:space="preserve">让游客来桂林不断增加 </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完成任务100%得5分.每少10百分点以内扣0.5</w:t>
            </w: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val="restart"/>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社会公众或服务对象满意度</w:t>
            </w: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社会公众满意度</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让百姓知晓我市的政策2让百姓积极参与我市的建设</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完成指标值100%</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完成任务100%得5分.每少10百分点以内扣0.5</w:t>
            </w: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服务对象满意度</w:t>
            </w: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5</w:t>
            </w: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海内外公民更多地知晓桂林</w:t>
            </w: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完成指标值100%</w:t>
            </w: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完成任务100%得5分.每少10百分点以内扣0.5</w:t>
            </w:r>
          </w:p>
        </w:tc>
      </w:tr>
      <w:tr w:rsidR="000D2B9F" w:rsidTr="00267F17">
        <w:trPr>
          <w:gridAfter w:val="1"/>
          <w:wAfter w:w="288" w:type="dxa"/>
          <w:trHeight w:val="271"/>
          <w:tblCellSpacing w:w="0" w:type="dxa"/>
        </w:trPr>
        <w:tc>
          <w:tcPr>
            <w:tcW w:w="139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900" w:type="dxa"/>
            <w:vMerge/>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1569"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1725"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166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r>
      <w:tr w:rsidR="000D2B9F" w:rsidTr="00267F17">
        <w:trPr>
          <w:gridAfter w:val="2"/>
          <w:wAfter w:w="541" w:type="dxa"/>
          <w:trHeight w:val="1095"/>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其他说明的问题</w:t>
            </w:r>
          </w:p>
        </w:tc>
        <w:tc>
          <w:tcPr>
            <w:tcW w:w="6768" w:type="dxa"/>
            <w:gridSpan w:val="1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r>
      <w:tr w:rsidR="000D2B9F" w:rsidTr="00267F17">
        <w:trPr>
          <w:gridAfter w:val="2"/>
          <w:wAfter w:w="541" w:type="dxa"/>
          <w:trHeight w:val="855"/>
          <w:tblCellSpacing w:w="0" w:type="dxa"/>
        </w:trPr>
        <w:tc>
          <w:tcPr>
            <w:tcW w:w="8158" w:type="dxa"/>
            <w:gridSpan w:val="1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备注：1.“指标内容”和“指标值”必须同时填写，不能二缺</w:t>
            </w:r>
            <w:proofErr w:type="gramStart"/>
            <w:r>
              <w:rPr>
                <w:rFonts w:ascii="宋体" w:eastAsia="宋体" w:hAnsi="宋体" w:cs="宋体" w:hint="eastAsia"/>
                <w:color w:val="666666"/>
                <w:sz w:val="21"/>
                <w:szCs w:val="21"/>
              </w:rPr>
              <w:t>一</w:t>
            </w:r>
            <w:proofErr w:type="gramEnd"/>
            <w:r>
              <w:rPr>
                <w:rFonts w:ascii="宋体" w:eastAsia="宋体" w:hAnsi="宋体" w:cs="宋体" w:hint="eastAsia"/>
                <w:color w:val="666666"/>
                <w:sz w:val="21"/>
                <w:szCs w:val="21"/>
              </w:rPr>
              <w:t>。2.经常性项目和跨年度项目除了填写年度绩效目标及其相应的绩效指标外，还必须同时填写中期绩效目标（或实施期目标）。3.项目分类（绩效目标）：基础设施类、民生补贴类、行政运转类、产业发展类、信息技术类、其他。</w:t>
            </w:r>
          </w:p>
        </w:tc>
      </w:tr>
      <w:tr w:rsidR="000D2B9F" w:rsidTr="00267F17">
        <w:trPr>
          <w:gridAfter w:val="2"/>
          <w:wAfter w:w="541" w:type="dxa"/>
          <w:trHeight w:val="480"/>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lastRenderedPageBreak/>
              <w:t>填报人：</w:t>
            </w:r>
          </w:p>
        </w:tc>
        <w:tc>
          <w:tcPr>
            <w:tcW w:w="90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W</w:t>
            </w: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pStyle w:val="a3"/>
              <w:widowControl/>
              <w:spacing w:line="450" w:lineRule="atLeast"/>
              <w:rPr>
                <w:rFonts w:ascii="宋体" w:eastAsia="宋体" w:hAnsi="宋体" w:cs="宋体"/>
                <w:color w:val="666666"/>
                <w:sz w:val="21"/>
                <w:szCs w:val="21"/>
              </w:rPr>
            </w:pPr>
            <w:r>
              <w:rPr>
                <w:rFonts w:ascii="宋体" w:eastAsia="宋体" w:hAnsi="宋体" w:cs="宋体" w:hint="eastAsia"/>
                <w:color w:val="666666"/>
                <w:sz w:val="21"/>
                <w:szCs w:val="21"/>
              </w:rPr>
              <w:t>联系电话：</w:t>
            </w:r>
          </w:p>
        </w:tc>
        <w:tc>
          <w:tcPr>
            <w:tcW w:w="4977" w:type="dxa"/>
            <w:gridSpan w:val="10"/>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r>
      <w:tr w:rsidR="000D2B9F" w:rsidTr="00267F17">
        <w:trPr>
          <w:tblCellSpacing w:w="0" w:type="dxa"/>
        </w:trPr>
        <w:tc>
          <w:tcPr>
            <w:tcW w:w="13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90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891"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270"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90" w:type="dxa"/>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2472"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1500"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c>
          <w:tcPr>
            <w:tcW w:w="1186" w:type="dxa"/>
            <w:gridSpan w:val="3"/>
            <w:tcBorders>
              <w:top w:val="single" w:sz="6" w:space="0" w:color="DDDDDD"/>
              <w:left w:val="single" w:sz="6" w:space="0" w:color="DDDDDD"/>
              <w:bottom w:val="single" w:sz="6" w:space="0" w:color="DDDDDD"/>
              <w:right w:val="single" w:sz="6" w:space="0" w:color="DDDDDD"/>
            </w:tcBorders>
            <w:shd w:val="clear" w:color="auto" w:fill="auto"/>
            <w:vAlign w:val="center"/>
          </w:tcPr>
          <w:p w:rsidR="000D2B9F" w:rsidRDefault="000D2B9F" w:rsidP="00267F17">
            <w:pPr>
              <w:widowControl/>
              <w:jc w:val="left"/>
              <w:rPr>
                <w:rFonts w:ascii="宋体" w:eastAsia="宋体" w:hAnsi="宋体" w:cs="宋体"/>
                <w:sz w:val="18"/>
                <w:szCs w:val="18"/>
              </w:rPr>
            </w:pPr>
          </w:p>
        </w:tc>
      </w:tr>
    </w:tbl>
    <w:p w:rsidR="000D2B9F" w:rsidRDefault="000D2B9F" w:rsidP="000D2B9F">
      <w:pPr>
        <w:pStyle w:val="a3"/>
        <w:widowControl/>
        <w:spacing w:before="150" w:line="450" w:lineRule="atLeast"/>
        <w:ind w:left="300" w:right="300"/>
        <w:rPr>
          <w:rFonts w:ascii="宋体" w:eastAsia="宋体" w:hAnsi="宋体" w:cs="宋体"/>
          <w:color w:val="666666"/>
          <w:sz w:val="21"/>
          <w:szCs w:val="21"/>
        </w:rPr>
      </w:pPr>
      <w:r>
        <w:rPr>
          <w:rFonts w:ascii="宋体" w:eastAsia="宋体" w:hAnsi="宋体" w:cs="宋体" w:hint="eastAsia"/>
          <w:color w:val="666666"/>
          <w:sz w:val="21"/>
          <w:szCs w:val="21"/>
        </w:rPr>
        <w:t> </w:t>
      </w:r>
    </w:p>
    <w:p w:rsidR="00FC4AE9" w:rsidRDefault="00FC4AE9">
      <w:bookmarkStart w:id="0" w:name="_GoBack"/>
      <w:bookmarkEnd w:id="0"/>
    </w:p>
    <w:sectPr w:rsidR="00FC4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9F"/>
    <w:rsid w:val="000D2B9F"/>
    <w:rsid w:val="00FC4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12B54-920B-4711-BE9F-35ACA8A9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B9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D2B9F"/>
    <w:pPr>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cp:revision>
  <dcterms:created xsi:type="dcterms:W3CDTF">2021-06-15T07:24:00Z</dcterms:created>
  <dcterms:modified xsi:type="dcterms:W3CDTF">2021-06-15T07:25:00Z</dcterms:modified>
</cp:coreProperties>
</file>