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桂林市</w:t>
      </w:r>
      <w:r>
        <w:rPr>
          <w:rFonts w:hint="eastAsia" w:ascii="仿宋" w:hAnsi="仿宋" w:eastAsia="仿宋"/>
          <w:sz w:val="36"/>
          <w:szCs w:val="36"/>
          <w:lang w:eastAsia="zh-CN"/>
        </w:rPr>
        <w:t>水利局</w:t>
      </w:r>
      <w:r>
        <w:rPr>
          <w:rFonts w:hint="eastAsia" w:ascii="仿宋" w:hAnsi="仿宋" w:eastAsia="仿宋"/>
          <w:sz w:val="36"/>
          <w:szCs w:val="36"/>
        </w:rPr>
        <w:t>预算公开网址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ind w:left="-359" w:leftChars="-17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tbl>
      <w:tblPr>
        <w:tblStyle w:val="3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4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预算代码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预算公开网址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087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桂林市水利局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http://slj.guilin.gov.cn/zwgk/jwgk/202107/t20210721_2094732.htm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5440" w:firstLineChars="1700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0BC0"/>
    <w:rsid w:val="524A5FA8"/>
    <w:rsid w:val="7C3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2020-02-25T06:57:00Z</dcterms:created>
  <dc:creator>Administrator</dc:creator>
  <cp:lastModifiedBy>Administrator</cp:lastModifiedBy>
  <dcterms:modified xsi:type="dcterms:W3CDTF">2021-07-21T03:23:57Z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