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ind w:firstLine="420" w:firstLineChars="200"/>
        <w:jc w:val="center"/>
        <w:textAlignment w:val="auto"/>
        <w:rPr>
          <w:rFonts w:ascii="方正小标宋_GBK" w:hAnsi="仿宋" w:eastAsia="方正小标宋_GBK"/>
          <w:sz w:val="32"/>
          <w:szCs w:val="32"/>
        </w:rPr>
      </w:pPr>
      <w:r>
        <w:rPr>
          <w:rFonts w:eastAsia="仿宋_GB2312"/>
        </w:rPr>
        <w:t xml:space="preserve"> </w:t>
      </w:r>
      <w:r>
        <w:rPr>
          <w:rFonts w:hint="eastAsia" w:ascii="方正小标宋_GBK" w:hAnsi="仿宋" w:eastAsia="方正小标宋_GBK"/>
          <w:sz w:val="32"/>
          <w:szCs w:val="32"/>
          <w:lang w:val="en-US" w:eastAsia="zh-CN"/>
        </w:rPr>
        <w:t>广西师范大学附属中学</w:t>
      </w:r>
      <w:r>
        <w:rPr>
          <w:rFonts w:ascii="方正小标宋_GBK" w:hAnsi="仿宋" w:eastAsia="方正小标宋_GBK"/>
          <w:sz w:val="32"/>
          <w:szCs w:val="32"/>
        </w:rPr>
        <w:t>2023年部门预算说明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第一部分  部门概况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一、主要职能职责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三、编制现状及人员构成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四、年度主要工作任务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第二部分  2023年部门预算情况说明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一、收支预算总体情况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二、收入预算总体情况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三、支出预算总体情况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四、财政拨款收支预算情况说明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五、一般公共预算支出情况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六、一般公共预算基本支出情况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七、一般公共预算“三公”经费情况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八、政府性基金预算情况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九、国有资本经营预算情况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第三部分 专业名词解释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第四部分  202</w:t>
      </w: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年部门预算报表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一、部门收支总体情况表(表1)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二、部门收入总体情况表(表2)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三、部门支出总体情况表(表3)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四、财政拨款收支总体情况表(表4)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五、一般公共预算支出情况表(表5)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六、一般公共预算基本支出情况表(表6)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七、一般公共预算“三公”经费支出情况表(表7)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八、政府性基金预算支出情况表(表8)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九、国有资本经营预算支出表(表9)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十、政府采购预算表(表10)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十一、部门预算支出经济分类表(表11)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十二、政府预算支出经济分类表(表12)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十三、项目支出（部门预算）绩效目标申报表（表13）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p>
    <w:p>
      <w:pPr>
        <w:keepNext w:val="0"/>
        <w:keepLines w:val="0"/>
        <w:pageBreakBefore w:val="0"/>
        <w:kinsoku/>
        <w:wordWrap/>
        <w:overflowPunct/>
        <w:topLinePunct w:val="0"/>
        <w:bidi w:val="0"/>
        <w:spacing w:line="240" w:lineRule="auto"/>
        <w:ind w:firstLine="880" w:firstLineChars="200"/>
        <w:jc w:val="both"/>
        <w:textAlignment w:val="auto"/>
        <w:rPr>
          <w:rFonts w:ascii="方正小标宋_GBK" w:hAnsi="仿宋" w:eastAsia="方正小标宋_GBK"/>
          <w:sz w:val="44"/>
          <w:szCs w:val="44"/>
        </w:rPr>
      </w:pPr>
    </w:p>
    <w:p>
      <w:pPr>
        <w:keepNext w:val="0"/>
        <w:keepLines w:val="0"/>
        <w:pageBreakBefore w:val="0"/>
        <w:kinsoku/>
        <w:wordWrap/>
        <w:overflowPunct/>
        <w:topLinePunct w:val="0"/>
        <w:bidi w:val="0"/>
        <w:spacing w:line="240" w:lineRule="auto"/>
        <w:ind w:firstLine="640" w:firstLineChars="200"/>
        <w:jc w:val="center"/>
        <w:textAlignment w:val="auto"/>
        <w:rPr>
          <w:rFonts w:hAnsi="黑体" w:eastAsia="黑体"/>
          <w:sz w:val="32"/>
          <w:szCs w:val="32"/>
        </w:rPr>
      </w:pPr>
    </w:p>
    <w:p>
      <w:pPr>
        <w:keepNext w:val="0"/>
        <w:keepLines w:val="0"/>
        <w:pageBreakBefore w:val="0"/>
        <w:kinsoku/>
        <w:wordWrap/>
        <w:overflowPunct/>
        <w:topLinePunct w:val="0"/>
        <w:bidi w:val="0"/>
        <w:spacing w:line="240" w:lineRule="auto"/>
        <w:ind w:firstLine="640" w:firstLineChars="200"/>
        <w:jc w:val="both"/>
        <w:textAlignment w:val="auto"/>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keepNext w:val="0"/>
        <w:keepLines w:val="0"/>
        <w:pageBreakBefore w:val="0"/>
        <w:kinsoku/>
        <w:wordWrap/>
        <w:overflowPunct/>
        <w:topLinePunct w:val="0"/>
        <w:bidi w:val="0"/>
        <w:spacing w:line="240" w:lineRule="auto"/>
        <w:ind w:firstLine="640" w:firstLineChars="200"/>
        <w:textAlignment w:val="auto"/>
        <w:rPr>
          <w:rFonts w:eastAsia="仿宋_GB2312"/>
          <w:sz w:val="32"/>
          <w:szCs w:val="32"/>
        </w:rPr>
      </w:pPr>
      <w:r>
        <w:rPr>
          <w:rFonts w:eastAsia="仿宋_GB2312"/>
          <w:sz w:val="32"/>
          <w:szCs w:val="32"/>
        </w:rPr>
        <w:t>一、主要职能职责</w:t>
      </w:r>
    </w:p>
    <w:p>
      <w:pPr>
        <w:keepNext w:val="0"/>
        <w:keepLines w:val="0"/>
        <w:pageBreakBefore w:val="0"/>
        <w:kinsoku/>
        <w:wordWrap/>
        <w:overflowPunct/>
        <w:topLinePunct w:val="0"/>
        <w:bidi w:val="0"/>
        <w:spacing w:line="240" w:lineRule="auto"/>
        <w:ind w:firstLine="640" w:firstLineChars="200"/>
        <w:textAlignment w:val="auto"/>
        <w:rPr>
          <w:rFonts w:eastAsia="仿宋_GB2312"/>
          <w:sz w:val="32"/>
          <w:szCs w:val="32"/>
        </w:rPr>
      </w:pPr>
      <w:r>
        <w:rPr>
          <w:rFonts w:hint="eastAsia" w:eastAsia="仿宋_GB2312"/>
          <w:sz w:val="32"/>
          <w:szCs w:val="32"/>
        </w:rPr>
        <w:t>广西师范大学附属中学是自治区教育厅直属管辖的全日制普通中学，实施高中学历教育，促进基础教育发展，属于区财政全额拨款、市财政差额拨款的事业单位。</w:t>
      </w:r>
    </w:p>
    <w:p>
      <w:pPr>
        <w:keepNext w:val="0"/>
        <w:keepLines w:val="0"/>
        <w:pageBreakBefore w:val="0"/>
        <w:numPr>
          <w:ilvl w:val="0"/>
          <w:numId w:val="1"/>
        </w:numPr>
        <w:kinsoku/>
        <w:wordWrap/>
        <w:overflowPunct/>
        <w:topLinePunct w:val="0"/>
        <w:bidi w:val="0"/>
        <w:spacing w:line="240" w:lineRule="auto"/>
        <w:ind w:firstLine="640" w:firstLineChars="200"/>
        <w:textAlignment w:val="auto"/>
        <w:rPr>
          <w:rFonts w:eastAsia="仿宋_GB2312"/>
          <w:sz w:val="32"/>
          <w:szCs w:val="32"/>
        </w:rPr>
      </w:pPr>
      <w:r>
        <w:rPr>
          <w:rFonts w:eastAsia="仿宋_GB2312"/>
          <w:sz w:val="32"/>
          <w:szCs w:val="32"/>
        </w:rPr>
        <w:t>机构设置</w:t>
      </w:r>
    </w:p>
    <w:p>
      <w:pPr>
        <w:keepNext w:val="0"/>
        <w:keepLines w:val="0"/>
        <w:pageBreakBefore w:val="0"/>
        <w:kinsoku/>
        <w:wordWrap/>
        <w:overflowPunct/>
        <w:topLinePunct w:val="0"/>
        <w:bidi w:val="0"/>
        <w:spacing w:line="240" w:lineRule="auto"/>
        <w:ind w:firstLine="640" w:firstLineChars="200"/>
        <w:textAlignment w:val="auto"/>
        <w:rPr>
          <w:rFonts w:hint="eastAsia" w:eastAsia="仿宋_GB2312"/>
          <w:sz w:val="32"/>
          <w:szCs w:val="32"/>
        </w:rPr>
      </w:pPr>
      <w:r>
        <w:rPr>
          <w:rFonts w:hint="eastAsia" w:eastAsia="仿宋_GB2312"/>
          <w:sz w:val="32"/>
          <w:szCs w:val="32"/>
        </w:rPr>
        <w:t>学校机构设置由办公室、教务处、德育处、科研处、总务处、宣传处、团委、工会组成。学校现有 45 个教学班（含6个国际班），在校学生2415 人（含国际班）。</w:t>
      </w:r>
    </w:p>
    <w:p>
      <w:pPr>
        <w:keepNext w:val="0"/>
        <w:keepLines w:val="0"/>
        <w:pageBreakBefore w:val="0"/>
        <w:numPr>
          <w:ilvl w:val="0"/>
          <w:numId w:val="1"/>
        </w:numPr>
        <w:kinsoku/>
        <w:wordWrap/>
        <w:overflowPunct/>
        <w:topLinePunct w:val="0"/>
        <w:bidi w:val="0"/>
        <w:spacing w:line="240" w:lineRule="auto"/>
        <w:ind w:left="0" w:leftChars="0" w:firstLine="640" w:firstLineChars="200"/>
        <w:textAlignment w:val="auto"/>
        <w:rPr>
          <w:rFonts w:eastAsia="仿宋_GB2312"/>
          <w:sz w:val="32"/>
          <w:szCs w:val="32"/>
        </w:rPr>
      </w:pPr>
      <w:r>
        <w:rPr>
          <w:rFonts w:eastAsia="仿宋_GB2312"/>
          <w:sz w:val="32"/>
          <w:szCs w:val="32"/>
        </w:rPr>
        <w:t>编制现状及人员构成</w:t>
      </w:r>
    </w:p>
    <w:p>
      <w:pPr>
        <w:keepNext w:val="0"/>
        <w:keepLines w:val="0"/>
        <w:pageBreakBefore w:val="0"/>
        <w:kinsoku/>
        <w:wordWrap/>
        <w:overflowPunct/>
        <w:topLinePunct w:val="0"/>
        <w:bidi w:val="0"/>
        <w:spacing w:line="240" w:lineRule="auto"/>
        <w:ind w:firstLine="640" w:firstLineChars="200"/>
        <w:textAlignment w:val="auto"/>
        <w:rPr>
          <w:rFonts w:hint="eastAsia" w:eastAsia="仿宋_GB2312"/>
          <w:sz w:val="32"/>
          <w:szCs w:val="32"/>
        </w:rPr>
      </w:pPr>
      <w:r>
        <w:rPr>
          <w:rFonts w:hint="eastAsia" w:eastAsia="仿宋_GB2312"/>
          <w:sz w:val="32"/>
          <w:szCs w:val="32"/>
        </w:rPr>
        <w:t>在职人员编制 7</w:t>
      </w:r>
      <w:r>
        <w:rPr>
          <w:rFonts w:hint="eastAsia" w:eastAsia="仿宋_GB2312"/>
          <w:sz w:val="32"/>
          <w:szCs w:val="32"/>
          <w:lang w:val="en-US" w:eastAsia="zh-CN"/>
        </w:rPr>
        <w:t>6</w:t>
      </w:r>
      <w:r>
        <w:rPr>
          <w:rFonts w:hint="eastAsia" w:eastAsia="仿宋_GB2312"/>
          <w:sz w:val="32"/>
          <w:szCs w:val="32"/>
        </w:rPr>
        <w:t xml:space="preserve"> 人，聘用教职工 1</w:t>
      </w:r>
      <w:r>
        <w:rPr>
          <w:rFonts w:hint="eastAsia" w:eastAsia="仿宋_GB2312"/>
          <w:sz w:val="32"/>
          <w:szCs w:val="32"/>
          <w:lang w:val="en-US" w:eastAsia="zh-CN"/>
        </w:rPr>
        <w:t>27</w:t>
      </w:r>
      <w:r>
        <w:rPr>
          <w:rFonts w:hint="eastAsia" w:eastAsia="仿宋_GB2312"/>
          <w:sz w:val="32"/>
          <w:szCs w:val="32"/>
        </w:rPr>
        <w:t xml:space="preserve"> 人；离退休人员80 人，其中：离休人员 1 人，退休 79 人；遗属补助人员 2 人。</w:t>
      </w:r>
    </w:p>
    <w:p>
      <w:pPr>
        <w:keepNext w:val="0"/>
        <w:keepLines w:val="0"/>
        <w:pageBreakBefore w:val="0"/>
        <w:numPr>
          <w:ilvl w:val="0"/>
          <w:numId w:val="1"/>
        </w:numPr>
        <w:kinsoku/>
        <w:wordWrap/>
        <w:overflowPunct/>
        <w:topLinePunct w:val="0"/>
        <w:bidi w:val="0"/>
        <w:spacing w:line="240" w:lineRule="auto"/>
        <w:ind w:left="0" w:leftChars="0" w:firstLine="640" w:firstLineChars="200"/>
        <w:textAlignment w:val="auto"/>
        <w:rPr>
          <w:rFonts w:eastAsia="仿宋_GB2312"/>
          <w:sz w:val="32"/>
          <w:szCs w:val="32"/>
        </w:rPr>
      </w:pPr>
      <w:r>
        <w:rPr>
          <w:rFonts w:eastAsia="仿宋_GB2312"/>
          <w:sz w:val="32"/>
          <w:szCs w:val="32"/>
        </w:rPr>
        <w:t>年度主要工作任务</w:t>
      </w:r>
    </w:p>
    <w:p>
      <w:pPr>
        <w:keepNext w:val="0"/>
        <w:keepLines w:val="0"/>
        <w:pageBreakBefore w:val="0"/>
        <w:kinsoku/>
        <w:wordWrap/>
        <w:overflowPunct/>
        <w:topLinePunct w:val="0"/>
        <w:bidi w:val="0"/>
        <w:spacing w:line="240" w:lineRule="auto"/>
        <w:ind w:firstLine="640" w:firstLineChars="200"/>
        <w:textAlignment w:val="auto"/>
        <w:rPr>
          <w:rFonts w:hint="eastAsia" w:eastAsia="仿宋_GB2312"/>
          <w:sz w:val="32"/>
          <w:szCs w:val="32"/>
        </w:rPr>
      </w:pPr>
      <w:r>
        <w:rPr>
          <w:rFonts w:hint="eastAsia" w:eastAsia="仿宋_GB2312"/>
          <w:sz w:val="32"/>
          <w:szCs w:val="32"/>
        </w:rPr>
        <w:t>适应新课改环境下的教育改革，培育品学兼优学生，帮助其考上理想院校。</w:t>
      </w:r>
    </w:p>
    <w:p>
      <w:pPr>
        <w:keepNext w:val="0"/>
        <w:keepLines w:val="0"/>
        <w:pageBreakBefore w:val="0"/>
        <w:kinsoku/>
        <w:wordWrap/>
        <w:overflowPunct/>
        <w:topLinePunct w:val="0"/>
        <w:autoSpaceDE w:val="0"/>
        <w:autoSpaceDN w:val="0"/>
        <w:bidi w:val="0"/>
        <w:adjustRightInd w:val="0"/>
        <w:spacing w:line="240" w:lineRule="auto"/>
        <w:ind w:left="10" w:leftChars="5" w:firstLine="640" w:firstLineChars="200"/>
        <w:jc w:val="left"/>
        <w:textAlignment w:val="auto"/>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keepNext w:val="0"/>
        <w:keepLines w:val="0"/>
        <w:pageBreakBefore w:val="0"/>
        <w:kinsoku/>
        <w:wordWrap/>
        <w:overflowPunct/>
        <w:topLinePunct w:val="0"/>
        <w:bidi w:val="0"/>
        <w:spacing w:line="240" w:lineRule="auto"/>
        <w:ind w:firstLine="640" w:firstLineChars="200"/>
        <w:textAlignment w:val="auto"/>
        <w:rPr>
          <w:rFonts w:hint="eastAsia" w:eastAsia="仿宋_GB2312"/>
          <w:sz w:val="32"/>
          <w:szCs w:val="32"/>
        </w:rPr>
      </w:pPr>
      <w:r>
        <w:rPr>
          <w:rFonts w:hint="eastAsia" w:eastAsia="仿宋_GB2312"/>
          <w:sz w:val="32"/>
          <w:szCs w:val="32"/>
        </w:rPr>
        <w:t>一、收支预算总体情况</w:t>
      </w:r>
    </w:p>
    <w:p>
      <w:pPr>
        <w:keepNext w:val="0"/>
        <w:keepLines w:val="0"/>
        <w:pageBreakBefore w:val="0"/>
        <w:kinsoku/>
        <w:wordWrap/>
        <w:overflowPunct/>
        <w:topLinePunct w:val="0"/>
        <w:bidi w:val="0"/>
        <w:spacing w:line="240" w:lineRule="auto"/>
        <w:ind w:firstLine="640" w:firstLineChars="200"/>
        <w:textAlignment w:val="auto"/>
        <w:rPr>
          <w:rFonts w:hint="eastAsia" w:eastAsia="仿宋_GB2312"/>
          <w:sz w:val="32"/>
          <w:szCs w:val="32"/>
          <w:lang w:val="en-US" w:eastAsia="zh-CN"/>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年收支总预算</w:t>
      </w:r>
      <w:r>
        <w:rPr>
          <w:rFonts w:hint="eastAsia" w:eastAsia="仿宋_GB2312"/>
          <w:sz w:val="32"/>
          <w:szCs w:val="32"/>
          <w:lang w:val="en-US" w:eastAsia="zh-CN"/>
        </w:rPr>
        <w:t>79.87</w:t>
      </w:r>
      <w:r>
        <w:rPr>
          <w:rFonts w:hint="eastAsia" w:eastAsia="仿宋_GB2312"/>
          <w:sz w:val="32"/>
          <w:szCs w:val="32"/>
        </w:rPr>
        <w:t>万元，同比</w:t>
      </w:r>
      <w:r>
        <w:rPr>
          <w:rFonts w:hint="eastAsia" w:eastAsia="仿宋_GB2312"/>
          <w:sz w:val="32"/>
          <w:szCs w:val="32"/>
          <w:lang w:val="en-US" w:eastAsia="zh-CN"/>
        </w:rPr>
        <w:t>减少24.35</w:t>
      </w:r>
      <w:r>
        <w:rPr>
          <w:rFonts w:hint="eastAsia" w:eastAsia="仿宋_GB2312"/>
          <w:sz w:val="32"/>
          <w:szCs w:val="32"/>
        </w:rPr>
        <w:t>万元，</w:t>
      </w:r>
      <w:r>
        <w:rPr>
          <w:rFonts w:hint="eastAsia" w:eastAsia="仿宋_GB2312"/>
          <w:sz w:val="32"/>
          <w:szCs w:val="32"/>
          <w:lang w:val="en-US" w:eastAsia="zh-CN"/>
        </w:rPr>
        <w:t>下降23.36</w:t>
      </w:r>
      <w:r>
        <w:rPr>
          <w:rFonts w:hint="eastAsia" w:eastAsia="仿宋_GB2312"/>
          <w:sz w:val="32"/>
          <w:szCs w:val="32"/>
        </w:rPr>
        <w:t>%。其中，收入包括:一般公共预算</w:t>
      </w:r>
      <w:r>
        <w:rPr>
          <w:rFonts w:hint="eastAsia" w:eastAsia="仿宋_GB2312"/>
          <w:sz w:val="32"/>
          <w:szCs w:val="32"/>
          <w:lang w:val="en-US" w:eastAsia="zh-CN"/>
        </w:rPr>
        <w:t>拨款</w:t>
      </w:r>
      <w:r>
        <w:rPr>
          <w:rFonts w:hint="eastAsia" w:eastAsia="仿宋_GB2312"/>
          <w:sz w:val="32"/>
          <w:szCs w:val="32"/>
        </w:rPr>
        <w:t>收入</w:t>
      </w:r>
      <w:r>
        <w:rPr>
          <w:rFonts w:hint="eastAsia" w:eastAsia="仿宋_GB2312"/>
          <w:sz w:val="32"/>
          <w:szCs w:val="32"/>
          <w:lang w:val="en-US" w:eastAsia="zh-CN"/>
        </w:rPr>
        <w:t>47.74</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政府性基金预算拨款收入32.13万元。支出包括:高中教育47.74万元，城乡社区支出32.13万元。</w:t>
      </w:r>
    </w:p>
    <w:p>
      <w:pPr>
        <w:keepNext w:val="0"/>
        <w:keepLines w:val="0"/>
        <w:pageBreakBefore w:val="0"/>
        <w:numPr>
          <w:ilvl w:val="0"/>
          <w:numId w:val="2"/>
        </w:numPr>
        <w:kinsoku/>
        <w:wordWrap/>
        <w:overflowPunct/>
        <w:topLinePunct w:val="0"/>
        <w:bidi w:val="0"/>
        <w:spacing w:line="240" w:lineRule="auto"/>
        <w:ind w:firstLine="640" w:firstLineChars="200"/>
        <w:textAlignment w:val="auto"/>
        <w:rPr>
          <w:rFonts w:eastAsia="仿宋_GB2312"/>
          <w:sz w:val="32"/>
          <w:szCs w:val="32"/>
        </w:rPr>
      </w:pPr>
      <w:r>
        <w:rPr>
          <w:rFonts w:eastAsia="仿宋_GB2312"/>
          <w:sz w:val="32"/>
          <w:szCs w:val="32"/>
        </w:rPr>
        <w:t>收入预算总体情况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一般公共预算收入总规模、各项预算收入及增减变化情况。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 年一般公共预算收入47.74万元，同比减少56.48万元，下降54.19%。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2023年政府性基金预算拨款收入32.13万元，同比增加32.13万元，增长100%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收入减少原因的说明。</w:t>
      </w:r>
    </w:p>
    <w:p>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财政拨款减少，压缩相应项目经费</w:t>
      </w:r>
      <w:r>
        <w:rPr>
          <w:rFonts w:hint="eastAsia" w:eastAsia="仿宋_GB2312" w:cs="Times New Roman"/>
          <w:kern w:val="2"/>
          <w:sz w:val="32"/>
          <w:szCs w:val="32"/>
          <w:lang w:val="en-US" w:eastAsia="zh-CN" w:bidi="ar-SA"/>
        </w:rPr>
        <w:t>导致一般公共预算收入减少。</w:t>
      </w:r>
    </w:p>
    <w:p>
      <w:pPr>
        <w:keepNext w:val="0"/>
        <w:keepLines w:val="0"/>
        <w:pageBreakBefore w:val="0"/>
        <w:numPr>
          <w:ilvl w:val="0"/>
          <w:numId w:val="2"/>
        </w:numPr>
        <w:kinsoku/>
        <w:wordWrap/>
        <w:overflowPunct/>
        <w:topLinePunct w:val="0"/>
        <w:bidi w:val="0"/>
        <w:spacing w:line="240" w:lineRule="auto"/>
        <w:ind w:left="0" w:leftChars="0" w:firstLine="640" w:firstLineChars="200"/>
        <w:textAlignment w:val="auto"/>
        <w:rPr>
          <w:rFonts w:eastAsia="仿宋_GB2312"/>
          <w:sz w:val="32"/>
          <w:szCs w:val="32"/>
        </w:rPr>
      </w:pPr>
      <w:r>
        <w:rPr>
          <w:rFonts w:eastAsia="仿宋_GB2312"/>
          <w:sz w:val="32"/>
          <w:szCs w:val="32"/>
        </w:rPr>
        <w:t>支出预算总体情况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支出预算总规模、各类预算支出规模及各类支出增减变化情况。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2023年支出总预算79.87万元，同比减少24.35万元，下降</w:t>
      </w:r>
      <w:r>
        <w:rPr>
          <w:rFonts w:hint="eastAsia" w:eastAsia="仿宋_GB2312" w:cs="Times New Roman"/>
          <w:kern w:val="2"/>
          <w:sz w:val="32"/>
          <w:szCs w:val="32"/>
          <w:lang w:val="en-US" w:eastAsia="zh-CN" w:bidi="ar-SA"/>
        </w:rPr>
        <w:t>23.36</w:t>
      </w:r>
      <w:r>
        <w:rPr>
          <w:rFonts w:hint="eastAsia" w:ascii="Times New Roman" w:hAnsi="Times New Roman" w:eastAsia="仿宋_GB2312" w:cs="Times New Roman"/>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(1)按支出功能分类科目划分，共分为2类，其中: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高中教育类科目47.74万元，占支出总预算59.77%，同比减少56.48万元，下降54.19%。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其他国有土地使用权出让收入安排的支出32.13万元，占支出总预算</w:t>
      </w:r>
      <w:r>
        <w:rPr>
          <w:rFonts w:hint="eastAsia" w:eastAsia="仿宋_GB2312" w:cs="Times New Roman"/>
          <w:kern w:val="2"/>
          <w:sz w:val="32"/>
          <w:szCs w:val="32"/>
          <w:lang w:val="en-US" w:eastAsia="zh-CN" w:bidi="ar-SA"/>
        </w:rPr>
        <w:t>40.23</w:t>
      </w:r>
      <w:r>
        <w:rPr>
          <w:rFonts w:hint="eastAsia" w:ascii="Times New Roman" w:hAnsi="Times New Roman" w:eastAsia="仿宋_GB2312" w:cs="Times New Roman"/>
          <w:kern w:val="2"/>
          <w:sz w:val="32"/>
          <w:szCs w:val="32"/>
          <w:lang w:val="en-US" w:eastAsia="zh-CN" w:bidi="ar-SA"/>
        </w:rPr>
        <w:t>%，同比增加32.13万元，增长100%。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支出减少原因的说明。</w:t>
      </w:r>
    </w:p>
    <w:p>
      <w:pPr>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财政拨款减少，压缩相应项目经费</w:t>
      </w:r>
      <w:r>
        <w:rPr>
          <w:rFonts w:hint="eastAsia" w:eastAsia="仿宋_GB2312" w:cs="Times New Roman"/>
          <w:kern w:val="2"/>
          <w:sz w:val="32"/>
          <w:szCs w:val="32"/>
          <w:lang w:val="en-US" w:eastAsia="zh-CN" w:bidi="ar-SA"/>
        </w:rPr>
        <w:t>导致一般公共预支出减少。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(2)按支出结构分类划分，分为基本支出预算和项目支出预算。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基本支出预算。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基本支出预算0万元，占支出总预算0 %，同比减少79.02万元，下降100%。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支出减少原因的说明。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聘用人员工资补助及培育学区生经费补助由基本支出预算变更为项目支出预算。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项目支出预算79.87万元，占支出总预算100%，同比增加54.67万元，增长216.94%。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支出减少原因的说明。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财政拨款减少，压缩相应项目经费。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val="en-US" w:eastAsia="zh-CN" w:bidi="ar-SA"/>
        </w:rPr>
        <w:t>财政拨款收支预算情况说明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财政拨款收入预算情况说明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按资金来源分项说明:财政拨款收入预算79.87万元，同比减少24.35万元，下降23.36%。其中，一般公共预算拨款收入47.74万元，政府性基金预算拨款收入32.13万元。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财政拨款收入预算减少主要原因:财政拨款减少，压缩相应项目经费。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财政拨款支出情况说明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按资金来源分项说明:财政拨款支出预算79.87万元，同比减少24.35万元，下降23.36%。其中，一般公共预算支出47.74万元，政府性基金预算支出32.13万元。支出减少的主要原因与收入减少的主要原因相同。</w:t>
      </w:r>
    </w:p>
    <w:p>
      <w:pPr>
        <w:keepNext w:val="0"/>
        <w:keepLines w:val="0"/>
        <w:pageBreakBefore w:val="0"/>
        <w:numPr>
          <w:ilvl w:val="0"/>
          <w:numId w:val="0"/>
        </w:numPr>
        <w:kinsoku/>
        <w:wordWrap/>
        <w:overflowPunct/>
        <w:topLinePunct w:val="0"/>
        <w:bidi w:val="0"/>
        <w:spacing w:line="240" w:lineRule="auto"/>
        <w:ind w:leftChars="200" w:firstLine="640" w:firstLineChars="200"/>
        <w:textAlignment w:val="auto"/>
        <w:rPr>
          <w:rFonts w:eastAsia="仿宋_GB2312"/>
          <w:sz w:val="32"/>
          <w:szCs w:val="32"/>
        </w:rPr>
      </w:pPr>
      <w:r>
        <w:rPr>
          <w:rFonts w:hint="eastAsia" w:eastAsia="仿宋_GB2312"/>
          <w:sz w:val="32"/>
          <w:szCs w:val="32"/>
          <w:lang w:val="en-US" w:eastAsia="zh-CN"/>
        </w:rPr>
        <w:t>五、</w:t>
      </w:r>
      <w:r>
        <w:rPr>
          <w:rFonts w:eastAsia="仿宋_GB2312"/>
          <w:sz w:val="32"/>
          <w:szCs w:val="32"/>
        </w:rPr>
        <w:t>一般公共预算支出情况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(一)总体情况说明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 年一般公共预算支出47.74万元，同比减少56.48万元，下降54.19%。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(二)按支出功能分类科目划分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按支出功能分类科目划分，共分为1类，其中: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高中教育类科目47.74万元，占支出总预算100%，同比减少56.48万元，下降54.19%。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支出增减原因的说明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财政拨款减少，压缩相应项目经费。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(三)按支出结构划分，分为基本支出预算和项目支出预算。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1、基本支出预算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基本支出预算0万元，占支出总预算0 %，同比减少79.02万元，下降100%。其中: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人员经费预算0万元，占基本支出预算0%，同比减少79.02万元，下降100 %。其中:工资福利支出预算0万元，占基本支出预算0%，同比减少79.02万元，下降100 %。对个人和家庭的补助支出预算0万元，同比无变化。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公用经费(商品和服务支出)预算0万元，占基本支出预算0%，同比无变化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支出增减原因的说明。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聘用人员工资补助及培育学区生经费补助由基本支出预算变更为项目支出预算。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2、项目支出预算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项目支出预算47.74万元，占支出总预算100%，同比增加22.54万元，增长89.44%。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支出增减原因的说明。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聘用人员工资补助及培育学区生经费补助由基本支出预算变更为项目支出预算。</w:t>
      </w:r>
    </w:p>
    <w:p>
      <w:pPr>
        <w:keepNext w:val="0"/>
        <w:keepLines w:val="0"/>
        <w:pageBreakBefore w:val="0"/>
        <w:numPr>
          <w:ilvl w:val="0"/>
          <w:numId w:val="0"/>
        </w:numPr>
        <w:kinsoku/>
        <w:wordWrap/>
        <w:overflowPunct/>
        <w:topLinePunct w:val="0"/>
        <w:bidi w:val="0"/>
        <w:spacing w:line="240" w:lineRule="auto"/>
        <w:ind w:firstLine="640" w:firstLineChars="200"/>
        <w:textAlignment w:val="auto"/>
        <w:rPr>
          <w:rFonts w:eastAsia="仿宋_GB2312"/>
          <w:sz w:val="32"/>
          <w:szCs w:val="32"/>
        </w:rPr>
      </w:pPr>
      <w:r>
        <w:rPr>
          <w:rFonts w:hint="eastAsia" w:eastAsia="仿宋_GB2312"/>
          <w:sz w:val="32"/>
          <w:szCs w:val="32"/>
          <w:lang w:val="en-US" w:eastAsia="zh-CN"/>
        </w:rPr>
        <w:t>六、</w:t>
      </w:r>
      <w:r>
        <w:rPr>
          <w:rFonts w:eastAsia="仿宋_GB2312"/>
          <w:sz w:val="32"/>
          <w:szCs w:val="32"/>
        </w:rPr>
        <w:t xml:space="preserve">一般公共预算基本支出情况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2023年一般公共预算基本支出0万元，其中:人员经费0万元，公用经费0万元。</w:t>
      </w:r>
    </w:p>
    <w:p>
      <w:pPr>
        <w:keepNext w:val="0"/>
        <w:keepLines w:val="0"/>
        <w:pageBreakBefore w:val="0"/>
        <w:numPr>
          <w:ilvl w:val="0"/>
          <w:numId w:val="0"/>
        </w:numPr>
        <w:kinsoku/>
        <w:wordWrap/>
        <w:overflowPunct/>
        <w:topLinePunct w:val="0"/>
        <w:bidi w:val="0"/>
        <w:spacing w:line="240" w:lineRule="auto"/>
        <w:ind w:leftChars="200" w:firstLine="640" w:firstLineChars="200"/>
        <w:textAlignment w:val="auto"/>
        <w:rPr>
          <w:rFonts w:eastAsia="仿宋_GB2312"/>
          <w:sz w:val="32"/>
          <w:szCs w:val="32"/>
        </w:rPr>
      </w:pPr>
      <w:r>
        <w:rPr>
          <w:rFonts w:hint="eastAsia" w:eastAsia="仿宋_GB2312"/>
          <w:sz w:val="32"/>
          <w:szCs w:val="32"/>
          <w:lang w:val="en-US" w:eastAsia="zh-CN"/>
        </w:rPr>
        <w:t>七、</w:t>
      </w:r>
      <w:r>
        <w:rPr>
          <w:rFonts w:eastAsia="仿宋_GB2312"/>
          <w:sz w:val="32"/>
          <w:szCs w:val="32"/>
        </w:rPr>
        <w:t>一般公共预算“三公”经费情况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(一)全口径预算安排的“三公”经费、会议和培训费说明。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(二)一般公共预算安排的“三公”经费、会议和培训费说明。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Chars="200" w:right="0" w:rightChars="0" w:firstLine="640" w:firstLineChars="200"/>
        <w:jc w:val="left"/>
        <w:textAlignment w:val="auto"/>
        <w:rPr>
          <w:rFonts w:eastAsia="仿宋_GB2312"/>
          <w:sz w:val="32"/>
          <w:szCs w:val="32"/>
        </w:rPr>
      </w:pPr>
      <w:r>
        <w:rPr>
          <w:rFonts w:hint="eastAsia" w:eastAsia="仿宋_GB2312"/>
          <w:sz w:val="32"/>
          <w:szCs w:val="32"/>
          <w:lang w:val="en-US" w:eastAsia="zh-CN"/>
        </w:rPr>
        <w:t>八、</w:t>
      </w:r>
      <w:r>
        <w:rPr>
          <w:rFonts w:eastAsia="仿宋_GB2312"/>
          <w:sz w:val="32"/>
          <w:szCs w:val="32"/>
        </w:rPr>
        <w:t xml:space="preserve">政府性基金预算情况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(一)总体情况说明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 年一政府性基金预算支出32.13万元，同比增加32.13万元，增长100%。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(二)按支出功能分类科目划分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按支出功能分类科目划分，共分为1类，其中: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城乡社区支出类科目32.13万元，占支出总预算100%，同比增加32.13万元，增长100%。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支出增减原因的说明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财政拨款安排城乡社区支出。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(三)按支出结构划分，分为基本支出预算和项目支出预算。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1、基本支出预算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宋体" w:hAnsi="宋体" w:eastAsia="宋体" w:cs="宋体"/>
          <w:sz w:val="28"/>
          <w:szCs w:val="28"/>
        </w:rPr>
      </w:pPr>
      <w:r>
        <w:rPr>
          <w:rFonts w:hint="eastAsia" w:ascii="Times New Roman" w:hAnsi="Times New Roman" w:eastAsia="仿宋_GB2312" w:cs="Times New Roman"/>
          <w:kern w:val="2"/>
          <w:sz w:val="32"/>
          <w:szCs w:val="32"/>
          <w:lang w:val="en-US" w:eastAsia="zh-CN" w:bidi="ar-SA"/>
        </w:rPr>
        <w:t>基本支出预算0万元，占支出总预算0 %，与上年相同。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项目支出预算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项目支出预算32.13万元，占支出总预算100%，同比增加32.13万元，增长100%。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支出增减原因的说明。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政府性资金安排培育学区生经费补助资金。</w:t>
      </w:r>
    </w:p>
    <w:p>
      <w:pPr>
        <w:keepNext w:val="0"/>
        <w:keepLines w:val="0"/>
        <w:pageBreakBefore w:val="0"/>
        <w:numPr>
          <w:ilvl w:val="0"/>
          <w:numId w:val="0"/>
        </w:numPr>
        <w:kinsoku/>
        <w:wordWrap/>
        <w:overflowPunct/>
        <w:topLinePunct w:val="0"/>
        <w:bidi w:val="0"/>
        <w:spacing w:line="240" w:lineRule="auto"/>
        <w:ind w:leftChars="200" w:firstLine="640" w:firstLineChars="200"/>
        <w:textAlignment w:val="auto"/>
        <w:rPr>
          <w:rFonts w:eastAsia="仿宋_GB2312"/>
          <w:sz w:val="32"/>
          <w:szCs w:val="32"/>
        </w:rPr>
      </w:pPr>
      <w:r>
        <w:rPr>
          <w:rFonts w:hint="eastAsia" w:eastAsia="仿宋_GB2312"/>
          <w:sz w:val="32"/>
          <w:szCs w:val="32"/>
          <w:lang w:val="en-US" w:eastAsia="zh-CN"/>
        </w:rPr>
        <w:t>九、</w:t>
      </w:r>
      <w:r>
        <w:rPr>
          <w:rFonts w:eastAsia="仿宋_GB2312"/>
          <w:sz w:val="32"/>
          <w:szCs w:val="32"/>
        </w:rPr>
        <w:t>国有资本经营预算情况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无使用国有资本经营预算安排的支出。</w:t>
      </w:r>
    </w:p>
    <w:p>
      <w:pPr>
        <w:keepNext w:val="0"/>
        <w:keepLines w:val="0"/>
        <w:pageBreakBefore w:val="0"/>
        <w:numPr>
          <w:ilvl w:val="0"/>
          <w:numId w:val="0"/>
        </w:numPr>
        <w:kinsoku/>
        <w:wordWrap/>
        <w:overflowPunct/>
        <w:topLinePunct w:val="0"/>
        <w:bidi w:val="0"/>
        <w:spacing w:line="240" w:lineRule="auto"/>
        <w:ind w:leftChars="200" w:firstLine="640" w:firstLineChars="200"/>
        <w:textAlignment w:val="auto"/>
        <w:rPr>
          <w:rFonts w:eastAsia="仿宋_GB2312"/>
          <w:sz w:val="32"/>
          <w:szCs w:val="32"/>
        </w:rPr>
      </w:pPr>
      <w:r>
        <w:rPr>
          <w:rFonts w:hint="eastAsia" w:eastAsia="仿宋_GB2312"/>
          <w:sz w:val="32"/>
          <w:szCs w:val="32"/>
          <w:lang w:val="en-US" w:eastAsia="zh-CN"/>
        </w:rPr>
        <w:t>十、</w:t>
      </w:r>
      <w:r>
        <w:rPr>
          <w:rFonts w:eastAsia="仿宋_GB2312"/>
          <w:sz w:val="32"/>
          <w:szCs w:val="32"/>
        </w:rPr>
        <w:t>其他重要事项情况说明（机关运行经费、政府采购、国有资产等情况说明）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(一)机关运行经费情况说明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(二)政府采购情况说明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(三)国有资产情况说明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我单位资产归广西师范大学所有，资产具体情况不在桂林市本级预算系统中统计。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（四）单位</w:t>
      </w:r>
      <w:r>
        <w:rPr>
          <w:rFonts w:hint="eastAsia" w:ascii="Times New Roman" w:hAnsi="Times New Roman" w:eastAsia="仿宋_GB2312" w:cs="Times New Roman"/>
          <w:kern w:val="2"/>
          <w:sz w:val="32"/>
          <w:szCs w:val="32"/>
          <w:lang w:val="en-US" w:eastAsia="zh-CN" w:bidi="ar-SA"/>
        </w:rPr>
        <w:t>整体绩效目标、重点项目绩效目标个数、预算数额、立项情况、实施进度计划和年度目标等情况</w:t>
      </w:r>
      <w:r>
        <w:rPr>
          <w:rFonts w:hint="eastAsia" w:eastAsia="仿宋_GB2312" w:cs="Times New Roman"/>
          <w:kern w:val="2"/>
          <w:sz w:val="32"/>
          <w:szCs w:val="32"/>
          <w:lang w:val="en-US" w:eastAsia="zh-CN" w:bidi="ar-SA"/>
        </w:rPr>
        <w:t>：见附件表13。           工程类项目支出预算评审个数、预算数额、实施进度计划和年度目标等情况：</w:t>
      </w:r>
      <w:r>
        <w:rPr>
          <w:rFonts w:hint="eastAsia" w:ascii="Times New Roman" w:hAnsi="Times New Roman" w:eastAsia="仿宋_GB2312" w:cs="Times New Roman"/>
          <w:kern w:val="2"/>
          <w:sz w:val="32"/>
          <w:szCs w:val="32"/>
          <w:lang w:val="en-US" w:eastAsia="zh-CN" w:bidi="ar-SA"/>
        </w:rPr>
        <w:t>无</w:t>
      </w:r>
    </w:p>
    <w:p>
      <w:pPr>
        <w:keepNext w:val="0"/>
        <w:keepLines w:val="0"/>
        <w:pageBreakBefore w:val="0"/>
        <w:numPr>
          <w:ilvl w:val="0"/>
          <w:numId w:val="0"/>
        </w:numPr>
        <w:kinsoku/>
        <w:wordWrap/>
        <w:overflowPunct/>
        <w:topLinePunct w:val="0"/>
        <w:bidi w:val="0"/>
        <w:spacing w:line="240" w:lineRule="auto"/>
        <w:ind w:leftChars="0" w:firstLine="640" w:firstLineChars="200"/>
        <w:textAlignment w:val="auto"/>
        <w:rPr>
          <w:rFonts w:eastAsia="仿宋_GB2312"/>
          <w:sz w:val="32"/>
          <w:szCs w:val="32"/>
        </w:rPr>
      </w:pPr>
    </w:p>
    <w:p>
      <w:pPr>
        <w:keepNext w:val="0"/>
        <w:keepLines w:val="0"/>
        <w:pageBreakBefore w:val="0"/>
        <w:numPr>
          <w:ilvl w:val="0"/>
          <w:numId w:val="3"/>
        </w:numPr>
        <w:kinsoku/>
        <w:wordWrap/>
        <w:overflowPunct/>
        <w:topLinePunct w:val="0"/>
        <w:autoSpaceDE w:val="0"/>
        <w:autoSpaceDN w:val="0"/>
        <w:bidi w:val="0"/>
        <w:adjustRightInd w:val="0"/>
        <w:spacing w:line="240" w:lineRule="auto"/>
        <w:ind w:left="-147" w:leftChars="-70" w:firstLine="640" w:firstLineChars="200"/>
        <w:jc w:val="left"/>
        <w:textAlignment w:val="auto"/>
        <w:rPr>
          <w:rFonts w:hAnsi="黑体" w:eastAsia="黑体"/>
          <w:sz w:val="32"/>
          <w:szCs w:val="32"/>
        </w:rPr>
      </w:pPr>
      <w:r>
        <w:rPr>
          <w:rFonts w:hAnsi="黑体" w:eastAsia="黑体"/>
          <w:sz w:val="32"/>
          <w:szCs w:val="32"/>
        </w:rPr>
        <w:t>专业名词解释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一、基本支出:指为保障机构正常运行、完成日常工作任务而发生的人员支出和公用支出。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二、项目支出:指在基本支出之外为完成特定行政任务和事业发展目标所发生的支出。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三、教育支出: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行政运行:主要反映保障教育局机关行政运行的支出。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学前教育:反映教育局直属的学前教育支出。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小学教育:反映教育局直属小学的教育支出。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初中教育:反映教育局直属初中的教育支出。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高中教育:反映教育局直属高中的教育支出。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职业教育:反映教育局直属的各类职业教育支出。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护费、过路过桥费、保险费、安全奖励费用等支出;公务接待费反映单位按规定开支的各类公务接待(含外宾接待)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五、机关运行经费:指行政单位和参照公务员法管理的事业单位使用一般公共预算安排的基本支出中的日常公用经费支出。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六、一般公共预算:是对以税收为主体的财政收入，安排用于保障和改善民生、推动经济社会发展、维护国家安全、维持国家机构正常运转等方面的收支预算。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七、一般公共预算收入包括各项税收收入、行政事业性收费收入、国有资源(资产)有偿使用收入、转移性收入和其他收入。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八、一般公共预算支出按照功能分类，包括一般公共服务支出，外交、公共安全、国防支出，农业、环境保护支出，教育、科技、文化、卫生、体育支出，社会保障及就业支出和其他支出。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九、一般公共预算支出按照经济性质分类，包括工资福利支出、商品和服务支出、资本性支出和其他支出。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150" w:afterAutospacing="0" w:line="24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十一、政府性基金包括国有土地使用权出让收入、国有土地收益基金、农业土地开发资金、城市配套费、政府住房基金、城市公用事业附加、彩票公益金等。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十二、国有资本经营预算:是对国有资本收益作出支出安排的收支预算。国有资本经营预算应当按照收支平衡的原则编制，不列赤字，并安排资金调入一般公共预算。</w:t>
      </w:r>
    </w:p>
    <w:p>
      <w:pPr>
        <w:keepNext w:val="0"/>
        <w:keepLines w:val="0"/>
        <w:pageBreakBefore w:val="0"/>
        <w:numPr>
          <w:ilvl w:val="0"/>
          <w:numId w:val="0"/>
        </w:numPr>
        <w:kinsoku/>
        <w:wordWrap/>
        <w:overflowPunct/>
        <w:topLinePunct w:val="0"/>
        <w:autoSpaceDE w:val="0"/>
        <w:autoSpaceDN w:val="0"/>
        <w:bidi w:val="0"/>
        <w:adjustRightInd w:val="0"/>
        <w:spacing w:line="240" w:lineRule="auto"/>
        <w:jc w:val="left"/>
        <w:textAlignment w:val="auto"/>
        <w:rPr>
          <w:rFonts w:hAnsi="黑体" w:eastAsia="黑体"/>
          <w:sz w:val="32"/>
          <w:szCs w:val="32"/>
        </w:rPr>
      </w:pPr>
    </w:p>
    <w:p>
      <w:pPr>
        <w:keepNext w:val="0"/>
        <w:keepLines w:val="0"/>
        <w:pageBreakBefore w:val="0"/>
        <w:widowControl w:val="0"/>
        <w:kinsoku/>
        <w:wordWrap/>
        <w:overflowPunct/>
        <w:topLinePunct w:val="0"/>
        <w:autoSpaceDE w:val="0"/>
        <w:autoSpaceDN w:val="0"/>
        <w:bidi w:val="0"/>
        <w:adjustRightInd w:val="0"/>
        <w:spacing w:line="360" w:lineRule="auto"/>
        <w:ind w:firstLine="640" w:firstLineChars="200"/>
        <w:jc w:val="left"/>
        <w:textAlignment w:val="auto"/>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一、部门收支总体情况表(表1)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二、部门收入总体情况表(表2)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三、部门支出总体情况表(表3)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四、财政拨款收支总体情况表(表4)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五、一般公共预算支出情况表(表5)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六、一般公共预算基本支出情况表(表6)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七、一般公共预算“三公”经费支出情况表(表7)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八、政府性基金预算支出情况表(表8)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九、国有资本经营预算支出表(表9)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十、政府采购预算表(表10)</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十一、部门预算支出经济分类表(表11)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十二、政府预算支出经济分类表(表12)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十三、项目支出（部门预算）绩效目标申报表（表13）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eastAsia="黑体"/>
          <w:b w:val="0"/>
          <w:bCs w:val="0"/>
          <w:sz w:val="32"/>
          <w:szCs w:val="32"/>
        </w:rPr>
      </w:pPr>
      <w:r>
        <w:rPr>
          <w:rFonts w:hAnsi="黑体" w:eastAsia="黑体"/>
          <w:b w:val="0"/>
          <w:bCs w:val="0"/>
          <w:sz w:val="32"/>
          <w:szCs w:val="32"/>
        </w:rPr>
        <w:t>上述报表详见附件。</w:t>
      </w:r>
    </w:p>
    <w:p>
      <w:pPr>
        <w:keepNext w:val="0"/>
        <w:keepLines w:val="0"/>
        <w:pageBreakBefore w:val="0"/>
        <w:kinsoku/>
        <w:wordWrap/>
        <w:overflowPunct/>
        <w:topLinePunct w:val="0"/>
        <w:autoSpaceDE w:val="0"/>
        <w:autoSpaceDN w:val="0"/>
        <w:bidi w:val="0"/>
        <w:adjustRightInd w:val="0"/>
        <w:spacing w:line="240" w:lineRule="auto"/>
        <w:ind w:left="-147" w:leftChars="-70" w:firstLine="640" w:firstLineChars="200"/>
        <w:textAlignment w:val="auto"/>
        <w:rPr>
          <w:rFonts w:eastAsia="仿宋_GB2312"/>
          <w:b w:val="0"/>
          <w:bCs w:val="0"/>
          <w:sz w:val="32"/>
          <w:szCs w:val="32"/>
        </w:rPr>
      </w:pPr>
      <w:r>
        <w:rPr>
          <w:rFonts w:ascii="Times New Roman" w:hAnsi="黑体" w:eastAsia="黑体" w:cs="Times New Roman"/>
          <w:b w:val="0"/>
          <w:bCs w:val="0"/>
          <w:kern w:val="0"/>
          <w:sz w:val="32"/>
          <w:szCs w:val="32"/>
          <w:lang w:val="en-US" w:eastAsia="zh-CN" w:bidi="ar"/>
        </w:rPr>
        <w:t>附：</w:t>
      </w:r>
      <w:r>
        <w:rPr>
          <w:rFonts w:hint="eastAsia" w:ascii="Times New Roman" w:hAnsi="黑体" w:eastAsia="黑体" w:cs="Times New Roman"/>
          <w:b w:val="0"/>
          <w:bCs w:val="0"/>
          <w:kern w:val="0"/>
          <w:sz w:val="32"/>
          <w:szCs w:val="32"/>
          <w:lang w:val="en-US" w:eastAsia="zh-CN" w:bidi="ar"/>
        </w:rPr>
        <w:t>广西师大附中2023年</w:t>
      </w:r>
      <w:r>
        <w:rPr>
          <w:rFonts w:ascii="Times New Roman" w:hAnsi="黑体" w:eastAsia="黑体" w:cs="Times New Roman"/>
          <w:b w:val="0"/>
          <w:bCs w:val="0"/>
          <w:kern w:val="0"/>
          <w:sz w:val="32"/>
          <w:szCs w:val="32"/>
          <w:lang w:val="en-US" w:eastAsia="zh-CN" w:bidi="ar"/>
        </w:rPr>
        <w:t>预算</w:t>
      </w:r>
      <w:r>
        <w:rPr>
          <w:rFonts w:hint="eastAsia" w:ascii="Times New Roman" w:hAnsi="黑体" w:eastAsia="黑体" w:cs="Times New Roman"/>
          <w:b w:val="0"/>
          <w:bCs w:val="0"/>
          <w:kern w:val="0"/>
          <w:sz w:val="32"/>
          <w:szCs w:val="32"/>
          <w:lang w:val="en-US" w:eastAsia="zh-CN" w:bidi="ar"/>
        </w:rPr>
        <w:t>公开</w:t>
      </w:r>
      <w:r>
        <w:rPr>
          <w:rFonts w:ascii="Times New Roman" w:hAnsi="黑体" w:eastAsia="黑体" w:cs="Times New Roman"/>
          <w:b w:val="0"/>
          <w:bCs w:val="0"/>
          <w:kern w:val="0"/>
          <w:sz w:val="32"/>
          <w:szCs w:val="32"/>
          <w:lang w:val="en-US" w:eastAsia="zh-CN" w:bidi="ar"/>
        </w:rPr>
        <w:t>表</w:t>
      </w:r>
      <w:r>
        <w:rPr>
          <w:rFonts w:eastAsia="仿宋_GB2312"/>
          <w:b w:val="0"/>
          <w:bCs w:val="0"/>
          <w:sz w:val="32"/>
          <w:szCs w:val="32"/>
        </w:rPr>
        <w:t>.xls</w:t>
      </w:r>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0"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0" cy="0"/>
                      </a:xfrm>
                      <a:prstGeom prst="rect">
                        <a:avLst/>
                      </a:prstGeom>
                      <a:noFill/>
                    </wps:spPr>
                    <wps:txbx>
                      <w:txbxContent>
                        <w:p>
                          <w:r>
                            <w:t>ImpTraceLabel=PD94bWwgdmVyc2lvbj0nMS4wJyBlbmNvZGluZz0nVVRGLTgnPz48dHJhY2U+PGNvbnRlbnQ+PC9jb250ZW50PjxhY2NvdW50PmZkczZ6OTFzb2Zrem15ajh1bXBhYjU8L2FjY291bnQ+PG1hY2hpbmVDb2RlPkxDVDg5NkowMDM4NjkKPC9tYWNoaW5lQ29kZT48dGltZT4yMDIzLTAzLTEwIDE5OjQ2OjIwPC90aW1lPjxzeXN0ZW0+TUI8c3lzdGVtPjwvdHJhY2U+</w:t>
                          </w:r>
                        </w:p>
                      </w:txbxContent>
                    </wps:txbx>
                    <wps:bodyPr upright="1"/>
                  </wps:wsp>
                </a:graphicData>
              </a:graphic>
            </wp:anchor>
          </w:drawing>
        </mc:Choice>
        <mc:Fallback>
          <w:pict>
            <v:shape id="ImpTraceLabel" o:spid="_x0000_s1026" o:spt="202" type="#_x0000_t202" style="position:absolute;left:0pt;margin-left:0pt;margin-top:0pt;height:0pt;width:0pt;mso-position-horizontal-relative:page;mso-position-vertical-relative:page;z-index:251659264;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OY49cvMAAAA/wAAAA8AAAAAAAAAAQAgAAAAIgAAAGRycy9kb3ducmV2LnhtbFBLAQIUABQA&#10;AAAIAIdO4kC3cPPAigEAAC0DAAAOAAAAAAAAAAEAIAAAABsBAABkcnMvZTJvRG9jLnhtbFBLBQYA&#10;AAAABgAGAFkBAAAXBQAAAAA=&#10;">
              <v:fill on="f" focussize="0,0"/>
              <v:stroke on="f"/>
              <v:imagedata o:title=""/>
              <o:lock v:ext="edit" aspectratio="f"/>
              <v:textbox>
                <w:txbxContent>
                  <w:p>
                    <w:r>
                      <w:t>ImpTraceLabel=PD94bWwgdmVyc2lvbj0nMS4wJyBlbmNvZGluZz0nVVRGLTgnPz48dHJhY2U+PGNvbnRlbnQ+PC9jb250ZW50PjxhY2NvdW50PmZkczZ6OTFzb2Zrem15ajh1bXBhYjU8L2FjY291bnQ+PG1hY2hpbmVDb2RlPkxDVDg5NkowMDM4NjkKPC9tYWNoaW5lQ29kZT48dGltZT4yMDIzLTAzLTEwIDE5OjQ2OjIw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181DD"/>
    <w:multiLevelType w:val="singleLevel"/>
    <w:tmpl w:val="A21181DD"/>
    <w:lvl w:ilvl="0" w:tentative="0">
      <w:start w:val="2"/>
      <w:numFmt w:val="chineseCounting"/>
      <w:suff w:val="nothing"/>
      <w:lvlText w:val="%1、"/>
      <w:lvlJc w:val="left"/>
      <w:rPr>
        <w:rFonts w:hint="eastAsia"/>
      </w:rPr>
    </w:lvl>
  </w:abstractNum>
  <w:abstractNum w:abstractNumId="1">
    <w:nsid w:val="F58CF72B"/>
    <w:multiLevelType w:val="singleLevel"/>
    <w:tmpl w:val="F58CF72B"/>
    <w:lvl w:ilvl="0" w:tentative="0">
      <w:start w:val="2"/>
      <w:numFmt w:val="chineseCounting"/>
      <w:suff w:val="nothing"/>
      <w:lvlText w:val="%1、"/>
      <w:lvlJc w:val="left"/>
      <w:rPr>
        <w:rFonts w:hint="eastAsia"/>
      </w:rPr>
    </w:lvl>
  </w:abstractNum>
  <w:abstractNum w:abstractNumId="2">
    <w:nsid w:val="485182B2"/>
    <w:multiLevelType w:val="singleLevel"/>
    <w:tmpl w:val="485182B2"/>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Y2QyM2I2N2RkOWE0N2QxMTYzZDZmZTA5MWU3MGEifQ=="/>
  </w:docVars>
  <w:rsids>
    <w:rsidRoot w:val="00000000"/>
    <w:rsid w:val="01BE7029"/>
    <w:rsid w:val="03E373F8"/>
    <w:rsid w:val="0582149C"/>
    <w:rsid w:val="06E8731C"/>
    <w:rsid w:val="0CCC272F"/>
    <w:rsid w:val="0D6E4A1A"/>
    <w:rsid w:val="27873DA1"/>
    <w:rsid w:val="28EB309B"/>
    <w:rsid w:val="38DE25F7"/>
    <w:rsid w:val="3B684359"/>
    <w:rsid w:val="3C0F316A"/>
    <w:rsid w:val="3D3F6D06"/>
    <w:rsid w:val="3DCE4853"/>
    <w:rsid w:val="42C10446"/>
    <w:rsid w:val="447D4026"/>
    <w:rsid w:val="4D622825"/>
    <w:rsid w:val="59D672F3"/>
    <w:rsid w:val="5A20371D"/>
    <w:rsid w:val="5BF450E6"/>
    <w:rsid w:val="5FA24E59"/>
    <w:rsid w:val="61883240"/>
    <w:rsid w:val="69A63798"/>
    <w:rsid w:val="6CA125CA"/>
    <w:rsid w:val="6D7055CE"/>
    <w:rsid w:val="6EEA331E"/>
    <w:rsid w:val="76644949"/>
    <w:rsid w:val="77CF035D"/>
    <w:rsid w:val="7905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uiPriority w:val="99"/>
    <w:rPr>
      <w:rFonts w:ascii="Times New Roman" w:hAnsi="Times New Roman" w:eastAsia="宋体" w:cs="Times New Roman"/>
      <w:sz w:val="18"/>
      <w:szCs w:val="18"/>
    </w:rPr>
  </w:style>
  <w:style w:type="character" w:customStyle="1" w:styleId="8">
    <w:name w:val="页脚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3825</Words>
  <Characters>4191</Characters>
  <Lines>30</Lines>
  <Paragraphs>8</Paragraphs>
  <TotalTime>0</TotalTime>
  <ScaleCrop>false</ScaleCrop>
  <LinksUpToDate>false</LinksUpToDate>
  <CharactersWithSpaces>4234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 </cp:lastModifiedBy>
  <cp:lastPrinted>2023-02-15T02:37:00Z</cp:lastPrinted>
  <dcterms:modified xsi:type="dcterms:W3CDTF">2023-04-10T08:01:22Z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1C39154598AE43EE9FB7A93C6851E4FC</vt:lpwstr>
  </property>
</Properties>
</file>