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center"/>
        <w:rPr>
          <w:rFonts w:ascii="隶书" w:hAnsi="仿宋" w:eastAsia="隶书"/>
          <w:sz w:val="72"/>
          <w:szCs w:val="72"/>
        </w:rPr>
      </w:pPr>
      <w:r>
        <w:rPr>
          <w:rFonts w:eastAsia="仿宋_GB2312"/>
        </w:rPr>
        <w:t xml:space="preserve">    </w:t>
      </w:r>
      <w:r>
        <w:rPr>
          <w:rFonts w:hint="eastAsia" w:ascii="隶书" w:hAnsi="仿宋" w:eastAsia="隶书"/>
          <w:sz w:val="72"/>
          <w:szCs w:val="72"/>
        </w:rPr>
        <w:t>广西壮族自治区桂林图书馆2023年预算说明</w:t>
      </w:r>
    </w:p>
    <w:p>
      <w:pPr>
        <w:spacing w:line="586" w:lineRule="exact"/>
        <w:jc w:val="center"/>
        <w:rPr>
          <w:rFonts w:hint="eastAsia" w:hAnsi="黑体" w:eastAsia="黑体"/>
          <w:sz w:val="32"/>
          <w:szCs w:val="32"/>
        </w:rPr>
      </w:pPr>
    </w:p>
    <w:p>
      <w:pPr>
        <w:spacing w:line="586" w:lineRule="exact"/>
        <w:jc w:val="center"/>
        <w:rPr>
          <w:rFonts w:eastAsia="黑体"/>
          <w:sz w:val="32"/>
          <w:szCs w:val="32"/>
        </w:rPr>
      </w:pPr>
      <w:r>
        <w:rPr>
          <w:rFonts w:hAnsi="黑体" w:eastAsia="黑体"/>
          <w:sz w:val="32"/>
          <w:szCs w:val="32"/>
        </w:rPr>
        <w:t>第一部分</w:t>
      </w:r>
      <w:r>
        <w:rPr>
          <w:rFonts w:eastAsia="黑体"/>
          <w:sz w:val="32"/>
          <w:szCs w:val="32"/>
        </w:rPr>
        <w:t xml:space="preserve">  </w:t>
      </w:r>
      <w:r>
        <w:rPr>
          <w:rFonts w:hint="eastAsia" w:hAnsi="黑体" w:eastAsia="黑体"/>
          <w:sz w:val="32"/>
          <w:szCs w:val="32"/>
        </w:rPr>
        <w:t>单位</w:t>
      </w:r>
      <w:r>
        <w:rPr>
          <w:rFonts w:hAnsi="黑体" w:eastAsia="黑体"/>
          <w:sz w:val="32"/>
          <w:szCs w:val="32"/>
        </w:rPr>
        <w:t>概况</w:t>
      </w:r>
    </w:p>
    <w:p>
      <w:pPr>
        <w:spacing w:line="586" w:lineRule="exact"/>
        <w:rPr>
          <w:rFonts w:eastAsia="仿宋_GB2312"/>
          <w:sz w:val="32"/>
          <w:szCs w:val="32"/>
        </w:rPr>
      </w:pPr>
      <w:r>
        <w:rPr>
          <w:rFonts w:eastAsia="仿宋_GB2312"/>
          <w:sz w:val="32"/>
          <w:szCs w:val="32"/>
        </w:rPr>
        <w:t>一、主要职能职责</w:t>
      </w:r>
    </w:p>
    <w:p>
      <w:pPr>
        <w:spacing w:line="586" w:lineRule="exact"/>
        <w:rPr>
          <w:rFonts w:eastAsia="仿宋_GB2312"/>
          <w:sz w:val="32"/>
          <w:szCs w:val="32"/>
        </w:rPr>
      </w:pPr>
      <w:r>
        <w:rPr>
          <w:rFonts w:eastAsia="仿宋_GB2312"/>
          <w:sz w:val="32"/>
          <w:szCs w:val="32"/>
        </w:rPr>
        <w:t>二、机构设置</w:t>
      </w:r>
    </w:p>
    <w:p>
      <w:pPr>
        <w:spacing w:line="586" w:lineRule="exact"/>
        <w:rPr>
          <w:rFonts w:eastAsia="仿宋_GB2312"/>
          <w:sz w:val="32"/>
          <w:szCs w:val="32"/>
        </w:rPr>
      </w:pPr>
      <w:r>
        <w:rPr>
          <w:rFonts w:eastAsia="仿宋_GB2312"/>
          <w:sz w:val="32"/>
          <w:szCs w:val="32"/>
        </w:rPr>
        <w:t>三、编制现状及人员构成</w:t>
      </w:r>
    </w:p>
    <w:p>
      <w:pPr>
        <w:spacing w:line="586" w:lineRule="exact"/>
        <w:rPr>
          <w:rFonts w:eastAsia="仿宋_GB2312"/>
          <w:sz w:val="32"/>
          <w:szCs w:val="32"/>
        </w:rPr>
      </w:pPr>
      <w:r>
        <w:rPr>
          <w:rFonts w:eastAsia="仿宋_GB2312"/>
          <w:sz w:val="32"/>
          <w:szCs w:val="32"/>
        </w:rPr>
        <w:t>四、年度主要工作任务</w:t>
      </w:r>
    </w:p>
    <w:p>
      <w:pPr>
        <w:autoSpaceDE w:val="0"/>
        <w:autoSpaceDN w:val="0"/>
        <w:adjustRightInd w:val="0"/>
        <w:spacing w:line="586" w:lineRule="exact"/>
        <w:ind w:left="10" w:leftChars="5"/>
        <w:jc w:val="left"/>
        <w:rPr>
          <w:rFonts w:eastAsia="黑体"/>
          <w:sz w:val="32"/>
          <w:szCs w:val="32"/>
        </w:rPr>
      </w:pPr>
      <w:r>
        <w:rPr>
          <w:rFonts w:hAnsi="黑体" w:eastAsia="黑体"/>
          <w:sz w:val="32"/>
          <w:szCs w:val="32"/>
        </w:rPr>
        <w:t>第二部分</w:t>
      </w:r>
      <w:r>
        <w:rPr>
          <w:rFonts w:eastAsia="黑体"/>
          <w:sz w:val="32"/>
          <w:szCs w:val="32"/>
        </w:rPr>
        <w:t xml:space="preserve">  </w:t>
      </w:r>
      <w:r>
        <w:rPr>
          <w:rFonts w:hint="eastAsia" w:ascii="仿宋_GB2312" w:hAnsi="仿宋_GB2312" w:eastAsia="仿宋_GB2312" w:cs="仿宋_GB2312"/>
          <w:b/>
          <w:bCs/>
          <w:sz w:val="32"/>
          <w:szCs w:val="32"/>
        </w:rPr>
        <w:t>广西壮族自治区桂林图书馆2023年单位预算</w:t>
      </w:r>
    </w:p>
    <w:p>
      <w:pPr>
        <w:spacing w:line="586" w:lineRule="exact"/>
        <w:rPr>
          <w:rFonts w:eastAsia="仿宋_GB2312"/>
          <w:sz w:val="32"/>
          <w:szCs w:val="32"/>
        </w:rPr>
      </w:pPr>
      <w:r>
        <w:rPr>
          <w:rFonts w:eastAsia="仿宋_GB2312"/>
          <w:sz w:val="32"/>
          <w:szCs w:val="32"/>
        </w:rPr>
        <w:t>一、收支预算总体情况</w:t>
      </w:r>
    </w:p>
    <w:p>
      <w:pPr>
        <w:spacing w:line="586" w:lineRule="exact"/>
        <w:rPr>
          <w:rFonts w:eastAsia="仿宋_GB2312"/>
          <w:sz w:val="32"/>
          <w:szCs w:val="32"/>
        </w:rPr>
      </w:pPr>
      <w:r>
        <w:rPr>
          <w:rFonts w:eastAsia="仿宋_GB2312"/>
          <w:sz w:val="32"/>
          <w:szCs w:val="32"/>
        </w:rPr>
        <w:t>二、收入预算总体情况</w:t>
      </w:r>
    </w:p>
    <w:p>
      <w:pPr>
        <w:spacing w:line="586" w:lineRule="exact"/>
        <w:rPr>
          <w:rFonts w:eastAsia="仿宋_GB2312"/>
          <w:sz w:val="32"/>
          <w:szCs w:val="32"/>
        </w:rPr>
      </w:pPr>
      <w:r>
        <w:rPr>
          <w:rFonts w:eastAsia="仿宋_GB2312"/>
          <w:sz w:val="32"/>
          <w:szCs w:val="32"/>
        </w:rPr>
        <w:t>三、支出预算总体情况</w:t>
      </w:r>
    </w:p>
    <w:p>
      <w:pPr>
        <w:spacing w:line="586" w:lineRule="exact"/>
        <w:ind w:left="627" w:hanging="627" w:hangingChars="196"/>
        <w:rPr>
          <w:rFonts w:eastAsia="仿宋_GB2312"/>
          <w:sz w:val="32"/>
          <w:szCs w:val="32"/>
        </w:rPr>
      </w:pPr>
      <w:r>
        <w:rPr>
          <w:rFonts w:eastAsia="仿宋_GB2312"/>
          <w:sz w:val="32"/>
          <w:szCs w:val="32"/>
        </w:rPr>
        <w:t>四、财政拨款收支预算情况说明</w:t>
      </w:r>
    </w:p>
    <w:p>
      <w:pPr>
        <w:spacing w:line="586" w:lineRule="exact"/>
        <w:rPr>
          <w:rFonts w:eastAsia="仿宋_GB2312"/>
          <w:sz w:val="32"/>
          <w:szCs w:val="32"/>
        </w:rPr>
      </w:pPr>
      <w:r>
        <w:rPr>
          <w:rFonts w:eastAsia="仿宋_GB2312"/>
          <w:sz w:val="32"/>
          <w:szCs w:val="32"/>
        </w:rPr>
        <w:t>五、一般公共预算支出情况</w:t>
      </w:r>
    </w:p>
    <w:p>
      <w:pPr>
        <w:spacing w:line="586" w:lineRule="exact"/>
        <w:rPr>
          <w:rFonts w:eastAsia="仿宋_GB2312"/>
          <w:sz w:val="32"/>
          <w:szCs w:val="32"/>
        </w:rPr>
      </w:pPr>
      <w:r>
        <w:rPr>
          <w:rFonts w:eastAsia="仿宋_GB2312"/>
          <w:sz w:val="32"/>
          <w:szCs w:val="32"/>
        </w:rPr>
        <w:t xml:space="preserve">六、一般公共预算基本支出情况 </w:t>
      </w:r>
    </w:p>
    <w:p>
      <w:pPr>
        <w:spacing w:line="586" w:lineRule="exact"/>
        <w:rPr>
          <w:rFonts w:eastAsia="仿宋_GB2312"/>
          <w:sz w:val="32"/>
          <w:szCs w:val="32"/>
        </w:rPr>
      </w:pPr>
      <w:r>
        <w:rPr>
          <w:rFonts w:eastAsia="仿宋_GB2312"/>
          <w:sz w:val="32"/>
          <w:szCs w:val="32"/>
        </w:rPr>
        <w:t>七、一般公共预算“三公”经费情况</w:t>
      </w:r>
    </w:p>
    <w:p>
      <w:pPr>
        <w:spacing w:line="586" w:lineRule="exact"/>
        <w:rPr>
          <w:rFonts w:eastAsia="仿宋_GB2312"/>
          <w:sz w:val="32"/>
          <w:szCs w:val="32"/>
        </w:rPr>
      </w:pPr>
      <w:r>
        <w:rPr>
          <w:rFonts w:eastAsia="仿宋_GB2312"/>
          <w:sz w:val="32"/>
          <w:szCs w:val="32"/>
        </w:rPr>
        <w:t xml:space="preserve">八、政府性基金预算情况 </w:t>
      </w:r>
    </w:p>
    <w:p>
      <w:pPr>
        <w:spacing w:line="586" w:lineRule="exact"/>
        <w:ind w:left="627" w:hanging="627" w:hangingChars="196"/>
        <w:rPr>
          <w:rFonts w:eastAsia="仿宋_GB2312"/>
          <w:sz w:val="32"/>
          <w:szCs w:val="32"/>
        </w:rPr>
      </w:pPr>
      <w:r>
        <w:rPr>
          <w:rFonts w:eastAsia="仿宋_GB2312"/>
          <w:sz w:val="32"/>
          <w:szCs w:val="32"/>
        </w:rPr>
        <w:t>九、国有资本经营预算情况</w:t>
      </w:r>
    </w:p>
    <w:p>
      <w:pPr>
        <w:spacing w:line="586" w:lineRule="exact"/>
        <w:ind w:left="627" w:hanging="627" w:hangingChars="196"/>
        <w:rPr>
          <w:rFonts w:eastAsia="仿宋_GB2312"/>
          <w:sz w:val="32"/>
          <w:szCs w:val="32"/>
        </w:rPr>
      </w:pPr>
      <w:r>
        <w:rPr>
          <w:rFonts w:eastAsia="仿宋_GB2312"/>
          <w:sz w:val="32"/>
          <w:szCs w:val="32"/>
        </w:rPr>
        <w:t>十、其他重要事项情况说明</w:t>
      </w:r>
    </w:p>
    <w:p>
      <w:pPr>
        <w:autoSpaceDE w:val="0"/>
        <w:autoSpaceDN w:val="0"/>
        <w:adjustRightInd w:val="0"/>
        <w:spacing w:line="586" w:lineRule="exact"/>
        <w:ind w:left="-147" w:leftChars="-70" w:firstLine="156" w:firstLineChars="49"/>
        <w:jc w:val="left"/>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autoSpaceDE w:val="0"/>
        <w:autoSpaceDN w:val="0"/>
        <w:adjustRightInd w:val="0"/>
        <w:spacing w:line="586" w:lineRule="exact"/>
        <w:jc w:val="left"/>
        <w:rPr>
          <w:rFonts w:eastAsia="黑体"/>
          <w:sz w:val="32"/>
          <w:szCs w:val="32"/>
        </w:rPr>
      </w:pPr>
      <w:r>
        <w:rPr>
          <w:rFonts w:hAnsi="黑体" w:eastAsia="黑体"/>
          <w:sz w:val="32"/>
          <w:szCs w:val="32"/>
        </w:rPr>
        <w:t>第四部分</w:t>
      </w:r>
      <w:r>
        <w:rPr>
          <w:rFonts w:eastAsia="黑体"/>
          <w:sz w:val="32"/>
          <w:szCs w:val="32"/>
        </w:rPr>
        <w:t xml:space="preserve">  </w:t>
      </w:r>
      <w:r>
        <w:rPr>
          <w:rFonts w:hint="eastAsia" w:eastAsia="黑体"/>
          <w:sz w:val="32"/>
          <w:szCs w:val="32"/>
        </w:rPr>
        <w:t>单位</w:t>
      </w:r>
      <w:r>
        <w:rPr>
          <w:rFonts w:hAnsi="黑体" w:eastAsia="黑体"/>
          <w:sz w:val="32"/>
          <w:szCs w:val="32"/>
        </w:rPr>
        <w:t>预算报表</w:t>
      </w:r>
    </w:p>
    <w:p>
      <w:pPr>
        <w:adjustRightInd w:val="0"/>
        <w:snapToGrid w:val="0"/>
        <w:spacing w:line="586" w:lineRule="exact"/>
        <w:rPr>
          <w:rFonts w:ascii="仿宋_GB2312" w:eastAsia="仿宋_GB2312"/>
          <w:sz w:val="32"/>
          <w:szCs w:val="32"/>
        </w:rPr>
      </w:pPr>
      <w:r>
        <w:rPr>
          <w:rFonts w:hint="eastAsia" w:ascii="仿宋_GB2312" w:eastAsia="仿宋_GB2312"/>
          <w:sz w:val="32"/>
          <w:szCs w:val="32"/>
        </w:rPr>
        <w:t>一、单位收支总体情况表（表1）</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二、单位收入总体情况表（表2）</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三、单位支出总体情况表（表3）</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四、财政拨款收支总体情况表（表4）</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五、一般公共预算支出情况表（表5）</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六、一般公共预算基本支出情况表（表6）</w:t>
      </w:r>
    </w:p>
    <w:p>
      <w:pPr>
        <w:adjustRightInd w:val="0"/>
        <w:snapToGrid w:val="0"/>
        <w:spacing w:line="586" w:lineRule="exact"/>
        <w:ind w:left="632" w:leftChars="231" w:hanging="147" w:hangingChars="46"/>
        <w:rPr>
          <w:rFonts w:ascii="仿宋_GB2312" w:eastAsia="仿宋_GB2312"/>
          <w:b/>
          <w:sz w:val="32"/>
          <w:szCs w:val="32"/>
        </w:rPr>
      </w:pPr>
      <w:r>
        <w:rPr>
          <w:rFonts w:hint="eastAsia" w:ascii="仿宋_GB2312" w:eastAsia="仿宋_GB2312"/>
          <w:sz w:val="32"/>
          <w:szCs w:val="32"/>
        </w:rPr>
        <w:t>七、一般公共预算“三公”经费支出情况表（表7）</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八、政府性基金预算支出情况表（表8）</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九、国有资本经营预算支出表（表9）</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十、政府采购预算表（表10）</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十一、单位预算支出经济分类表（表11）</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十二、政府预算支出经济分类表（表12）</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十三、项目支出（部门预算）绩效目标申报表（表13）</w:t>
      </w:r>
    </w:p>
    <w:p>
      <w:pPr>
        <w:spacing w:line="586" w:lineRule="exact"/>
        <w:jc w:val="center"/>
        <w:rPr>
          <w:rFonts w:ascii="方正小标宋_GBK" w:hAnsi="仿宋" w:eastAsia="方正小标宋_GBK"/>
          <w:sz w:val="44"/>
          <w:szCs w:val="44"/>
        </w:rPr>
      </w:pPr>
    </w:p>
    <w:p>
      <w:pPr>
        <w:spacing w:line="586" w:lineRule="exact"/>
        <w:jc w:val="center"/>
        <w:rPr>
          <w:rFonts w:hint="eastAsia" w:ascii="仿宋_GB2312" w:hAnsi="黑体" w:eastAsia="仿宋_GB2312"/>
          <w:sz w:val="32"/>
          <w:szCs w:val="32"/>
        </w:rPr>
      </w:pPr>
    </w:p>
    <w:p>
      <w:pPr>
        <w:spacing w:line="586" w:lineRule="exact"/>
        <w:jc w:val="center"/>
        <w:rPr>
          <w:rFonts w:hint="eastAsia" w:ascii="仿宋_GB2312" w:hAnsi="黑体" w:eastAsia="仿宋_GB2312"/>
          <w:sz w:val="32"/>
          <w:szCs w:val="32"/>
        </w:rPr>
      </w:pPr>
    </w:p>
    <w:p>
      <w:pPr>
        <w:spacing w:line="586" w:lineRule="exact"/>
        <w:jc w:val="center"/>
        <w:rPr>
          <w:rFonts w:hint="eastAsia" w:ascii="仿宋_GB2312" w:hAnsi="黑体" w:eastAsia="仿宋_GB2312"/>
          <w:sz w:val="32"/>
          <w:szCs w:val="32"/>
        </w:rPr>
      </w:pPr>
    </w:p>
    <w:p>
      <w:pPr>
        <w:spacing w:line="586" w:lineRule="exact"/>
        <w:jc w:val="center"/>
        <w:rPr>
          <w:rFonts w:hint="eastAsia" w:ascii="仿宋_GB2312" w:hAnsi="黑体" w:eastAsia="仿宋_GB2312"/>
          <w:sz w:val="32"/>
          <w:szCs w:val="32"/>
        </w:rPr>
      </w:pPr>
    </w:p>
    <w:p>
      <w:pPr>
        <w:spacing w:line="586" w:lineRule="exact"/>
        <w:jc w:val="center"/>
        <w:rPr>
          <w:rFonts w:hint="eastAsia" w:ascii="仿宋_GB2312" w:hAnsi="黑体" w:eastAsia="仿宋_GB2312"/>
          <w:sz w:val="32"/>
          <w:szCs w:val="32"/>
        </w:rPr>
      </w:pPr>
    </w:p>
    <w:p>
      <w:pPr>
        <w:spacing w:line="586" w:lineRule="exact"/>
        <w:jc w:val="center"/>
        <w:rPr>
          <w:rFonts w:hint="eastAsia" w:ascii="仿宋_GB2312" w:hAnsi="黑体" w:eastAsia="仿宋_GB2312"/>
          <w:sz w:val="32"/>
          <w:szCs w:val="32"/>
        </w:rPr>
      </w:pPr>
    </w:p>
    <w:p>
      <w:pPr>
        <w:spacing w:line="586" w:lineRule="exact"/>
        <w:jc w:val="center"/>
        <w:rPr>
          <w:rFonts w:hint="eastAsia" w:ascii="仿宋_GB2312" w:hAnsi="黑体" w:eastAsia="仿宋_GB2312"/>
          <w:sz w:val="32"/>
          <w:szCs w:val="32"/>
        </w:rPr>
      </w:pPr>
    </w:p>
    <w:p>
      <w:pPr>
        <w:spacing w:line="586" w:lineRule="exact"/>
        <w:jc w:val="center"/>
        <w:rPr>
          <w:rFonts w:hint="eastAsia" w:ascii="仿宋_GB2312" w:hAnsi="黑体" w:eastAsia="仿宋_GB2312"/>
          <w:sz w:val="32"/>
          <w:szCs w:val="32"/>
        </w:rPr>
      </w:pPr>
    </w:p>
    <w:p>
      <w:pPr>
        <w:spacing w:line="586" w:lineRule="exact"/>
        <w:jc w:val="center"/>
        <w:rPr>
          <w:rFonts w:hint="eastAsia" w:ascii="仿宋_GB2312" w:hAnsi="黑体" w:eastAsia="仿宋_GB2312"/>
          <w:sz w:val="32"/>
          <w:szCs w:val="32"/>
        </w:rPr>
      </w:pPr>
    </w:p>
    <w:p>
      <w:pPr>
        <w:spacing w:line="586" w:lineRule="exact"/>
        <w:jc w:val="center"/>
        <w:rPr>
          <w:rFonts w:hint="eastAsia" w:ascii="仿宋_GB2312" w:hAnsi="黑体" w:eastAsia="仿宋_GB2312"/>
          <w:sz w:val="32"/>
          <w:szCs w:val="32"/>
        </w:rPr>
      </w:pPr>
    </w:p>
    <w:p>
      <w:pPr>
        <w:spacing w:line="586" w:lineRule="exact"/>
        <w:jc w:val="center"/>
        <w:rPr>
          <w:rFonts w:hint="eastAsia" w:ascii="仿宋_GB2312" w:hAnsi="黑体" w:eastAsia="仿宋_GB2312"/>
          <w:sz w:val="32"/>
          <w:szCs w:val="32"/>
        </w:rPr>
      </w:pPr>
    </w:p>
    <w:p>
      <w:pPr>
        <w:spacing w:line="586" w:lineRule="exact"/>
        <w:jc w:val="center"/>
        <w:rPr>
          <w:rFonts w:ascii="仿宋_GB2312" w:eastAsia="仿宋_GB2312"/>
          <w:sz w:val="32"/>
          <w:szCs w:val="32"/>
        </w:rPr>
      </w:pPr>
      <w:r>
        <w:rPr>
          <w:rFonts w:hint="eastAsia" w:ascii="仿宋_GB2312" w:hAnsi="黑体" w:eastAsia="仿宋_GB2312"/>
          <w:sz w:val="32"/>
          <w:szCs w:val="32"/>
        </w:rPr>
        <w:t>第一部分</w:t>
      </w:r>
      <w:r>
        <w:rPr>
          <w:rFonts w:hint="eastAsia" w:ascii="仿宋_GB2312" w:eastAsia="仿宋_GB2312"/>
          <w:sz w:val="32"/>
          <w:szCs w:val="32"/>
        </w:rPr>
        <w:t xml:space="preserve">  </w:t>
      </w:r>
      <w:r>
        <w:rPr>
          <w:rFonts w:hint="eastAsia" w:ascii="仿宋_GB2312" w:hAnsi="黑体" w:eastAsia="仿宋_GB2312"/>
          <w:sz w:val="32"/>
          <w:szCs w:val="32"/>
        </w:rPr>
        <w:t>单位概况</w:t>
      </w:r>
    </w:p>
    <w:p>
      <w:pPr>
        <w:spacing w:line="586" w:lineRule="exact"/>
        <w:ind w:firstLine="630" w:firstLineChars="196"/>
        <w:rPr>
          <w:rFonts w:ascii="仿宋_GB2312" w:eastAsia="仿宋_GB2312"/>
          <w:b/>
          <w:sz w:val="32"/>
          <w:szCs w:val="32"/>
        </w:rPr>
      </w:pPr>
      <w:r>
        <w:rPr>
          <w:rFonts w:hint="eastAsia" w:ascii="仿宋_GB2312" w:hAnsi="黑体" w:eastAsia="仿宋_GB2312"/>
          <w:b/>
          <w:sz w:val="32"/>
          <w:szCs w:val="32"/>
        </w:rPr>
        <w:t>一、主要职能职责</w:t>
      </w:r>
    </w:p>
    <w:p>
      <w:pPr>
        <w:spacing w:line="560" w:lineRule="exact"/>
        <w:ind w:firstLine="640" w:firstLineChars="200"/>
        <w:outlineLvl w:val="2"/>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收集、整理和保存文献信息资源；提供文献信息的检索、借阅、参考咨询和查新等服务；提供政府公开信息；承担图书馆学研究、文献数字化建设工作；向社会提供公益性免费开放服务；举办讲座、展览、培训辅导等社会公益活动；完成主管部门交办的其他任务。</w:t>
      </w:r>
    </w:p>
    <w:p>
      <w:pPr>
        <w:spacing w:line="586" w:lineRule="exact"/>
        <w:ind w:firstLine="630" w:firstLineChars="196"/>
        <w:rPr>
          <w:rFonts w:ascii="仿宋_GB2312" w:hAnsi="黑体" w:eastAsia="仿宋_GB2312"/>
          <w:b/>
          <w:sz w:val="32"/>
          <w:szCs w:val="32"/>
        </w:rPr>
      </w:pPr>
      <w:r>
        <w:rPr>
          <w:rFonts w:hint="eastAsia" w:ascii="仿宋_GB2312" w:hAnsi="黑体" w:eastAsia="仿宋_GB2312"/>
          <w:b/>
          <w:sz w:val="32"/>
          <w:szCs w:val="32"/>
        </w:rPr>
        <w:t>二、机构设置情况</w:t>
      </w:r>
    </w:p>
    <w:p>
      <w:pPr>
        <w:spacing w:line="586" w:lineRule="exact"/>
        <w:ind w:firstLine="627" w:firstLineChars="196"/>
        <w:rPr>
          <w:rFonts w:ascii="仿宋_GB2312" w:eastAsia="仿宋_GB2312"/>
          <w:sz w:val="32"/>
          <w:szCs w:val="32"/>
        </w:rPr>
      </w:pPr>
      <w:r>
        <w:rPr>
          <w:rFonts w:hint="eastAsia" w:ascii="仿宋_GB2312" w:eastAsia="仿宋_GB2312"/>
          <w:sz w:val="32"/>
          <w:szCs w:val="32"/>
        </w:rPr>
        <w:t>本单位机构性质为事业单位，机构类别为公益一类，机构级别为正处级，下设内设机构15个，具体为：业务办公室、行政科、采编部、历史文献部、科技服务部、研究辅导部、少年儿童部、信息技术部、人教科、借阅部、报刊部、社会教育培训部、保卫科、阅读推广部、公共数字文化中心。</w:t>
      </w:r>
    </w:p>
    <w:p>
      <w:pPr>
        <w:spacing w:line="586" w:lineRule="exact"/>
        <w:ind w:firstLine="630" w:firstLineChars="196"/>
        <w:rPr>
          <w:rFonts w:ascii="仿宋_GB2312" w:eastAsia="仿宋_GB2312"/>
          <w:b/>
          <w:sz w:val="32"/>
          <w:szCs w:val="32"/>
        </w:rPr>
      </w:pPr>
      <w:r>
        <w:rPr>
          <w:rFonts w:hint="eastAsia" w:ascii="仿宋_GB2312" w:hAnsi="黑体" w:eastAsia="仿宋_GB2312"/>
          <w:b/>
          <w:sz w:val="32"/>
          <w:szCs w:val="32"/>
        </w:rPr>
        <w:t>三、编制现状及人员构成</w:t>
      </w:r>
    </w:p>
    <w:p>
      <w:pPr>
        <w:spacing w:line="586" w:lineRule="exact"/>
        <w:ind w:firstLine="627" w:firstLineChars="196"/>
        <w:rPr>
          <w:rFonts w:ascii="仿宋_GB2312" w:eastAsia="仿宋_GB2312"/>
          <w:sz w:val="32"/>
          <w:szCs w:val="32"/>
        </w:rPr>
      </w:pPr>
      <w:r>
        <w:rPr>
          <w:rFonts w:hint="eastAsia" w:ascii="仿宋_GB2312" w:hAnsi="仿宋_GB2312" w:eastAsia="仿宋_GB2312" w:cs="仿宋_GB2312"/>
          <w:sz w:val="32"/>
          <w:szCs w:val="32"/>
        </w:rPr>
        <w:t>全额拨款正处级事业单位。人员编制175人，在职158人，离休1人，退休95人。</w:t>
      </w:r>
    </w:p>
    <w:p>
      <w:pPr>
        <w:spacing w:line="586" w:lineRule="exact"/>
        <w:ind w:firstLine="630" w:firstLineChars="196"/>
        <w:rPr>
          <w:rFonts w:ascii="仿宋_GB2312" w:hAnsi="黑体" w:eastAsia="仿宋_GB2312"/>
          <w:b/>
          <w:sz w:val="32"/>
          <w:szCs w:val="32"/>
        </w:rPr>
      </w:pPr>
      <w:r>
        <w:rPr>
          <w:rFonts w:hint="eastAsia" w:ascii="仿宋_GB2312" w:hAnsi="黑体" w:eastAsia="仿宋_GB2312"/>
          <w:b/>
          <w:sz w:val="32"/>
          <w:szCs w:val="32"/>
        </w:rPr>
        <w:t>四、年度主要工作任务</w:t>
      </w:r>
    </w:p>
    <w:p>
      <w:pPr>
        <w:snapToGrid w:val="0"/>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2023年，广西桂林图书馆将在上级党委和政府的领导下，坚持以习近平新时代中国特色社会主义思想为指导，深入贯彻党的二十大精神，锚定“推进文化自信自强，铸就社会主义文化新辉煌”的目标任务，以党的二十大精神为指引，坚守“以人民为中心”，深入践行新发展理念，深刻领会和准确把握新时代图书馆工作的新特点，新使命，不断改进工作效能和作风，扎实推动图书馆工作高质量发展，努力开创图书馆事业发展新局面。</w:t>
      </w:r>
    </w:p>
    <w:p>
      <w:pPr>
        <w:snapToGrid w:val="0"/>
        <w:ind w:left="-142" w:firstLine="562"/>
        <w:rPr>
          <w:rFonts w:ascii="仿宋_GB2312" w:hAnsi="仿宋" w:eastAsia="仿宋_GB2312" w:cs="仿宋"/>
          <w:sz w:val="32"/>
          <w:szCs w:val="32"/>
        </w:rPr>
      </w:pPr>
      <w:r>
        <w:rPr>
          <w:rFonts w:hint="eastAsia" w:ascii="仿宋_GB2312" w:hAnsi="仿宋" w:eastAsia="仿宋_GB2312" w:cs="仿宋"/>
          <w:b/>
          <w:bCs/>
          <w:sz w:val="32"/>
          <w:szCs w:val="32"/>
        </w:rPr>
        <w:t>1.深入学习贯彻党的二十大精神。</w:t>
      </w:r>
      <w:r>
        <w:rPr>
          <w:rFonts w:hint="eastAsia" w:ascii="仿宋_GB2312" w:hAnsi="仿宋" w:eastAsia="仿宋_GB2312" w:cs="仿宋"/>
          <w:sz w:val="32"/>
          <w:szCs w:val="32"/>
        </w:rPr>
        <w:t>把学习宣传贯彻落实党的二十大精神作为当前和今后的重大政治任务，持续抓好学习制度贯彻落实。以多种形式，采取各种方式，统筹开展一系列学习宣传培训活动，认真领会精神实质，进一步激发党组织和党员干部的学习工作热情，把智慧和力量凝聚到党的二十大确定的目标任务上来，把党的二十大的部署和要求落实到图书馆发展各领域各方面，推动学习贯彻不断走深走实。</w:t>
      </w:r>
    </w:p>
    <w:p>
      <w:pPr>
        <w:snapToGrid w:val="0"/>
        <w:ind w:left="-142" w:firstLine="562"/>
        <w:rPr>
          <w:rFonts w:ascii="仿宋_GB2312" w:hAnsi="仿宋" w:eastAsia="仿宋_GB2312" w:cs="仿宋"/>
          <w:sz w:val="32"/>
          <w:szCs w:val="32"/>
        </w:rPr>
      </w:pPr>
      <w:r>
        <w:rPr>
          <w:rFonts w:hint="eastAsia" w:ascii="仿宋_GB2312" w:hAnsi="仿宋" w:eastAsia="仿宋_GB2312" w:cs="仿宋"/>
          <w:b/>
          <w:bCs/>
          <w:sz w:val="32"/>
          <w:szCs w:val="32"/>
        </w:rPr>
        <w:t>2.始终坚持党的全面领导。</w:t>
      </w:r>
      <w:r>
        <w:rPr>
          <w:rFonts w:hint="eastAsia" w:ascii="仿宋_GB2312" w:hAnsi="仿宋" w:eastAsia="仿宋_GB2312" w:cs="仿宋"/>
          <w:sz w:val="32"/>
          <w:szCs w:val="32"/>
        </w:rPr>
        <w:t>以党的政治建设为统领，进一步提高政治站位，进一步强化基层组织建设，严格履行党建工作主体责任，完善党建工作机制，全面落实新时代党的建设总要求，强化对党建工作的安排部署及工作指导。坚定不移全面从严治党，深入推进清廉建设，捍卫“两个确立”，践行“两个维护”，持之以恒反对“四风”，切实做好党建工作和党风廉政建设工作，推动党建与业务工作相互促进共同发展。</w:t>
      </w:r>
    </w:p>
    <w:p>
      <w:pPr>
        <w:snapToGrid w:val="0"/>
        <w:ind w:left="-142" w:firstLine="562"/>
        <w:rPr>
          <w:rFonts w:ascii="仿宋_GB2312" w:hAnsi="仿宋" w:eastAsia="仿宋_GB2312" w:cs="仿宋"/>
          <w:sz w:val="32"/>
          <w:szCs w:val="32"/>
        </w:rPr>
      </w:pPr>
      <w:r>
        <w:rPr>
          <w:rFonts w:hint="eastAsia" w:ascii="仿宋_GB2312" w:hAnsi="仿宋" w:eastAsia="仿宋_GB2312" w:cs="仿宋"/>
          <w:b/>
          <w:bCs/>
          <w:sz w:val="32"/>
          <w:szCs w:val="32"/>
        </w:rPr>
        <w:t>3.以“十四五”规划引领高质量发展。</w:t>
      </w:r>
      <w:r>
        <w:rPr>
          <w:rFonts w:hint="eastAsia" w:ascii="仿宋_GB2312" w:hAnsi="仿宋" w:eastAsia="仿宋_GB2312" w:cs="仿宋"/>
          <w:sz w:val="32"/>
          <w:szCs w:val="32"/>
        </w:rPr>
        <w:t>坚持党委把方向、管大局、</w:t>
      </w:r>
      <w:r>
        <w:rPr>
          <w:rFonts w:hint="eastAsia" w:ascii="仿宋_GB2312" w:hAnsi="仿宋" w:eastAsia="仿宋_GB2312" w:cs="仿宋"/>
          <w:sz w:val="32"/>
          <w:szCs w:val="32"/>
          <w:lang w:val="en-US" w:eastAsia="zh-CN"/>
        </w:rPr>
        <w:t>保</w:t>
      </w:r>
      <w:r>
        <w:rPr>
          <w:rFonts w:hint="eastAsia" w:ascii="仿宋_GB2312" w:hAnsi="仿宋" w:eastAsia="仿宋_GB2312" w:cs="仿宋"/>
          <w:sz w:val="32"/>
          <w:szCs w:val="32"/>
        </w:rPr>
        <w:t>落实，贯彻落实国家、自治区“十四五”规划和2035年远景目标、“十四五”文化和旅游发展规划、“十四五”公共文化服务体系建设规划，结合本馆“十四五”发展规划，强化管理力度，提升工作保障水平，对标第七次公共图书馆评估结果抓整改，辐射带动全局，进一步加强党建引领、组织架构、业务管理等体系建设，推动规划的落地落实。</w:t>
      </w:r>
    </w:p>
    <w:p>
      <w:pPr>
        <w:snapToGrid w:val="0"/>
        <w:ind w:left="-142" w:firstLine="562"/>
        <w:rPr>
          <w:rFonts w:ascii="仿宋_GB2312" w:hAnsi="仿宋" w:eastAsia="仿宋_GB2312" w:cs="仿宋"/>
          <w:sz w:val="32"/>
          <w:szCs w:val="32"/>
        </w:rPr>
      </w:pPr>
      <w:r>
        <w:rPr>
          <w:rFonts w:hint="eastAsia" w:ascii="仿宋_GB2312" w:hAnsi="仿宋" w:eastAsia="仿宋_GB2312" w:cs="仿宋"/>
          <w:b/>
          <w:bCs/>
          <w:sz w:val="32"/>
          <w:szCs w:val="32"/>
        </w:rPr>
        <w:t>4.积极推进智慧图书馆建设。</w:t>
      </w:r>
      <w:r>
        <w:rPr>
          <w:rFonts w:hint="eastAsia" w:ascii="仿宋_GB2312" w:hAnsi="仿宋" w:eastAsia="仿宋_GB2312" w:cs="仿宋"/>
          <w:sz w:val="32"/>
          <w:szCs w:val="32"/>
        </w:rPr>
        <w:t>积极参与全国智慧图书馆体系建设，持续跟进智慧图书馆体项目建设，推进地方专题资源元数据仓储、细颗粒度、知识图书谱等资源建设以及数字资源长期存储的建设。搭建智慧化管理平台，强化信息技术支撑，构建智慧化知识服务网络，推进馆舍空间、设施设备的智慧化升级。</w:t>
      </w:r>
    </w:p>
    <w:p>
      <w:pPr>
        <w:snapToGrid w:val="0"/>
        <w:ind w:left="-142" w:firstLine="562"/>
        <w:rPr>
          <w:rFonts w:ascii="仿宋_GB2312" w:hAnsi="仿宋" w:eastAsia="仿宋_GB2312" w:cs="仿宋"/>
          <w:sz w:val="32"/>
          <w:szCs w:val="32"/>
        </w:rPr>
      </w:pPr>
      <w:r>
        <w:rPr>
          <w:rFonts w:hint="eastAsia" w:ascii="仿宋_GB2312" w:hAnsi="仿宋" w:eastAsia="仿宋_GB2312" w:cs="仿宋"/>
          <w:b/>
          <w:bCs/>
          <w:sz w:val="32"/>
          <w:szCs w:val="32"/>
        </w:rPr>
        <w:t>5.促进区域图书馆公共服务体系建设。</w:t>
      </w:r>
      <w:r>
        <w:rPr>
          <w:rFonts w:hint="eastAsia" w:ascii="仿宋_GB2312" w:hAnsi="仿宋" w:eastAsia="仿宋_GB2312" w:cs="仿宋"/>
          <w:sz w:val="32"/>
          <w:szCs w:val="32"/>
        </w:rPr>
        <w:t>以高质量发展为主线，不断探索融合发展路径，推动服务下沉，拓展基层新型阅读空间，将阅读资源和服务延伸至景区、街区、社区、园区等，通过广泛撬动社会资源，共建全维度、多形式、高品质的图书馆体系。</w:t>
      </w:r>
    </w:p>
    <w:p>
      <w:pPr>
        <w:snapToGrid w:val="0"/>
        <w:ind w:left="-142" w:firstLine="562"/>
        <w:rPr>
          <w:rFonts w:ascii="仿宋_GB2312" w:hAnsi="仿宋" w:eastAsia="仿宋_GB2312" w:cs="仿宋"/>
          <w:sz w:val="32"/>
          <w:szCs w:val="32"/>
        </w:rPr>
      </w:pPr>
      <w:r>
        <w:rPr>
          <w:rFonts w:hint="eastAsia" w:ascii="仿宋_GB2312" w:hAnsi="仿宋" w:eastAsia="仿宋_GB2312" w:cs="仿宋"/>
          <w:b/>
          <w:bCs/>
          <w:sz w:val="32"/>
          <w:szCs w:val="32"/>
        </w:rPr>
        <w:t>6.推动文旅融合发展。</w:t>
      </w:r>
      <w:r>
        <w:rPr>
          <w:rFonts w:hint="eastAsia" w:ascii="仿宋_GB2312" w:hAnsi="仿宋" w:eastAsia="仿宋_GB2312" w:cs="仿宋"/>
          <w:sz w:val="32"/>
          <w:szCs w:val="32"/>
        </w:rPr>
        <w:t>结合图书馆功能与旅游行业热点，找准图书馆拓展旅游服务功能的切入点，积极与各类公共文化机构、旅游景点等开展合作，实现资源共建共享和优势互补，延伸图书馆文化服务内涵。</w:t>
      </w:r>
    </w:p>
    <w:p>
      <w:pPr>
        <w:snapToGrid w:val="0"/>
        <w:ind w:left="-142" w:firstLine="562"/>
        <w:rPr>
          <w:rFonts w:ascii="仿宋_GB2312" w:hAnsi="仿宋" w:eastAsia="仿宋_GB2312" w:cs="仿宋"/>
          <w:sz w:val="32"/>
          <w:szCs w:val="32"/>
        </w:rPr>
      </w:pPr>
      <w:r>
        <w:rPr>
          <w:rFonts w:hint="eastAsia" w:ascii="仿宋_GB2312" w:hAnsi="仿宋" w:eastAsia="仿宋_GB2312" w:cs="仿宋"/>
          <w:b/>
          <w:bCs/>
          <w:sz w:val="32"/>
          <w:szCs w:val="32"/>
        </w:rPr>
        <w:t>7.持续开展古籍保护研究利用工作。</w:t>
      </w:r>
      <w:r>
        <w:rPr>
          <w:rFonts w:hint="eastAsia" w:ascii="仿宋_GB2312" w:hAnsi="仿宋" w:eastAsia="仿宋_GB2312" w:cs="仿宋"/>
          <w:sz w:val="32"/>
          <w:szCs w:val="32"/>
        </w:rPr>
        <w:t>以古籍普查保护工作为抓手，从完善古籍存藏条件、开展数字化保护、注重研究整理、加强队伍建设等方面引领带动全区古籍保护工作发展。继续开展古籍修复技艺传习，开展古籍专业人员培训，提升基层图书馆古籍保护能力、古籍保护学术研究水平。持续开展古籍保护宣传推广，组织开展古籍知识讲座、修复技艺互动演示、珍贵古籍展、文创开发等活动。</w:t>
      </w:r>
    </w:p>
    <w:p>
      <w:pPr>
        <w:snapToGrid w:val="0"/>
        <w:ind w:left="-142" w:firstLine="562"/>
        <w:rPr>
          <w:rFonts w:ascii="仿宋_GB2312" w:hAnsi="仿宋" w:eastAsia="仿宋_GB2312" w:cs="仿宋"/>
          <w:sz w:val="32"/>
          <w:szCs w:val="32"/>
        </w:rPr>
      </w:pPr>
      <w:r>
        <w:rPr>
          <w:rFonts w:hint="eastAsia" w:ascii="仿宋_GB2312" w:hAnsi="仿宋" w:eastAsia="仿宋_GB2312" w:cs="仿宋"/>
          <w:b/>
          <w:bCs/>
          <w:sz w:val="32"/>
          <w:szCs w:val="32"/>
        </w:rPr>
        <w:t>8.创新阅读推广模式，深化全民阅读服务。</w:t>
      </w:r>
      <w:r>
        <w:rPr>
          <w:rFonts w:hint="eastAsia" w:ascii="仿宋_GB2312" w:hAnsi="仿宋" w:eastAsia="仿宋_GB2312" w:cs="仿宋"/>
          <w:sz w:val="32"/>
          <w:szCs w:val="32"/>
        </w:rPr>
        <w:t>在持续夯实阵地建设的基础上，统筹阅读推广活动，强化活动品牌建设。围绕世界读书日、图书馆服务宣传周、寒暑假、广西全民阅读月等时间节点策划并组织实施专题系列阅读推广活动，加强阅读推广与基本服务的紧密结合，构建结构合理，主题丰富的阅读推广体系。完善分众服务，引领未成年人阅读，丰富老年阅读服务，拓展特殊群体的阅读推广服务。强化全媒体营销，推动线上线下阅读推广的融合发展，进一步提升阅读推广服务效益与影响力。</w:t>
      </w:r>
    </w:p>
    <w:p>
      <w:pPr>
        <w:snapToGrid w:val="0"/>
        <w:ind w:left="-142" w:firstLine="562"/>
        <w:rPr>
          <w:rFonts w:ascii="仿宋_GB2312" w:hAnsi="仿宋" w:eastAsia="仿宋_GB2312" w:cs="仿宋"/>
          <w:sz w:val="32"/>
          <w:szCs w:val="32"/>
        </w:rPr>
      </w:pPr>
      <w:r>
        <w:rPr>
          <w:rFonts w:hint="eastAsia" w:ascii="仿宋_GB2312" w:hAnsi="仿宋" w:eastAsia="仿宋_GB2312" w:cs="仿宋"/>
          <w:b/>
          <w:bCs/>
          <w:sz w:val="32"/>
          <w:szCs w:val="32"/>
        </w:rPr>
        <w:t>9.打造研学特色服务。</w:t>
      </w:r>
      <w:r>
        <w:rPr>
          <w:rFonts w:hint="eastAsia" w:ascii="仿宋_GB2312" w:hAnsi="仿宋" w:eastAsia="仿宋_GB2312" w:cs="仿宋"/>
          <w:sz w:val="32"/>
          <w:szCs w:val="32"/>
        </w:rPr>
        <w:t>依托丰富的馆藏资源，立足图书馆服务阵地，拓展图书馆员的专业职能，开展形式多样、内容丰富的研学实践教育活动，逐步呈现出内容多样化、形式多元化、空间多维化、合作多边化的研学服务特色。</w:t>
      </w:r>
    </w:p>
    <w:p>
      <w:pPr>
        <w:snapToGrid w:val="0"/>
        <w:ind w:left="-142" w:firstLine="562"/>
        <w:rPr>
          <w:rFonts w:ascii="仿宋_GB2312" w:hAnsi="仿宋" w:eastAsia="仿宋_GB2312" w:cs="仿宋"/>
          <w:sz w:val="32"/>
          <w:szCs w:val="32"/>
        </w:rPr>
      </w:pPr>
      <w:r>
        <w:rPr>
          <w:rFonts w:hint="eastAsia" w:ascii="仿宋_GB2312" w:hAnsi="仿宋" w:eastAsia="仿宋_GB2312" w:cs="仿宋"/>
          <w:b/>
          <w:bCs/>
          <w:sz w:val="32"/>
          <w:szCs w:val="32"/>
        </w:rPr>
        <w:t>10.推动文化志愿服务工作有效开展。</w:t>
      </w:r>
      <w:r>
        <w:rPr>
          <w:rFonts w:hint="eastAsia" w:ascii="仿宋_GB2312" w:hAnsi="仿宋" w:eastAsia="仿宋_GB2312" w:cs="仿宋"/>
          <w:sz w:val="32"/>
          <w:szCs w:val="32"/>
        </w:rPr>
        <w:t>在志愿服务品牌化、创新服务内容、提升志愿服务参与度等方面下</w:t>
      </w:r>
      <w:r>
        <w:rPr>
          <w:rFonts w:hint="eastAsia" w:ascii="仿宋_GB2312" w:hAnsi="仿宋" w:eastAsia="仿宋_GB2312" w:cs="仿宋"/>
          <w:sz w:val="32"/>
          <w:szCs w:val="32"/>
          <w:lang w:val="en-US" w:eastAsia="zh-CN"/>
        </w:rPr>
        <w:t>功</w:t>
      </w:r>
      <w:r>
        <w:rPr>
          <w:rFonts w:hint="eastAsia" w:ascii="仿宋_GB2312" w:hAnsi="仿宋" w:eastAsia="仿宋_GB2312" w:cs="仿宋"/>
          <w:sz w:val="32"/>
          <w:szCs w:val="32"/>
        </w:rPr>
        <w:t>夫，促进志愿服务在图书馆工作中发挥积极作用。组织志愿者开展特殊群体志愿服务和文化旅游资源宣传推介，推动志愿者工作与讲座、展览、研学等活动深度结合，促进志愿服务特色化、专业化发展。</w:t>
      </w:r>
      <w:bookmarkStart w:id="0" w:name="_GoBack"/>
      <w:bookmarkEnd w:id="0"/>
    </w:p>
    <w:p>
      <w:pPr>
        <w:snapToGrid w:val="0"/>
        <w:ind w:left="-142" w:firstLine="562"/>
        <w:rPr>
          <w:rFonts w:ascii="仿宋_GB2312" w:hAnsi="仿宋" w:eastAsia="仿宋_GB2312" w:cs="仿宋"/>
          <w:sz w:val="32"/>
          <w:szCs w:val="32"/>
        </w:rPr>
      </w:pPr>
      <w:r>
        <w:rPr>
          <w:rFonts w:hint="eastAsia" w:ascii="仿宋_GB2312" w:hAnsi="仿宋" w:eastAsia="仿宋_GB2312" w:cs="仿宋"/>
          <w:b/>
          <w:bCs/>
          <w:sz w:val="32"/>
          <w:szCs w:val="32"/>
        </w:rPr>
        <w:t>11.推进民族团结进步教育基地建设。</w:t>
      </w:r>
      <w:r>
        <w:rPr>
          <w:rFonts w:hint="eastAsia" w:ascii="仿宋_GB2312" w:hAnsi="仿宋" w:eastAsia="仿宋_GB2312" w:cs="仿宋"/>
          <w:sz w:val="32"/>
          <w:szCs w:val="32"/>
        </w:rPr>
        <w:t>注重发挥基地作用，加强民族团结进步宣传教育工作，把铸牢中华民族共同体意识主线贯穿基地工作各方面全过程，把党的民族政策和法律法规、民族基本知识、民族团结典型事迹的宣传教育纳入各类学习教育活动中，增强各族群众对伟大祖国、中华民族、中华灿烂文化的深刻理解，在推动边疆民族地区高质量发展上贡献图书馆力量。</w:t>
      </w:r>
    </w:p>
    <w:p>
      <w:pPr>
        <w:snapToGrid w:val="0"/>
        <w:ind w:left="-142" w:firstLine="562"/>
        <w:rPr>
          <w:rFonts w:ascii="仿宋_GB2312" w:hAnsi="仿宋" w:eastAsia="仿宋_GB2312" w:cs="仿宋"/>
          <w:sz w:val="32"/>
          <w:szCs w:val="32"/>
        </w:rPr>
      </w:pPr>
      <w:r>
        <w:rPr>
          <w:rFonts w:hint="eastAsia" w:ascii="仿宋_GB2312" w:hAnsi="仿宋" w:eastAsia="仿宋_GB2312" w:cs="仿宋"/>
          <w:b/>
          <w:bCs/>
          <w:sz w:val="32"/>
          <w:szCs w:val="32"/>
        </w:rPr>
        <w:t>12.推进公共数字文化建设，提升公共数字文化服务能力。</w:t>
      </w:r>
      <w:r>
        <w:rPr>
          <w:rFonts w:hint="eastAsia" w:ascii="仿宋_GB2312" w:hAnsi="仿宋" w:eastAsia="仿宋_GB2312" w:cs="仿宋"/>
          <w:sz w:val="32"/>
          <w:szCs w:val="32"/>
        </w:rPr>
        <w:t>实施文化和旅游部公共数字文化项目，重点围绕中华优秀传统文化、红色革命文化、广西民俗文化、桂林山水文化等文旅融合地方特色文化开展数字资源建设，打造特色数字资源品牌。积极推动数字资源成果转化，完善公共数字文化资源服务平台，提升数字资源服务能力，发挥数字资源实际效益。</w:t>
      </w:r>
    </w:p>
    <w:p>
      <w:pPr>
        <w:snapToGrid w:val="0"/>
        <w:ind w:left="-142" w:firstLine="562"/>
        <w:rPr>
          <w:rFonts w:ascii="仿宋_GB2312" w:hAnsi="仿宋" w:eastAsia="仿宋_GB2312" w:cs="仿宋"/>
          <w:sz w:val="32"/>
          <w:szCs w:val="32"/>
        </w:rPr>
      </w:pPr>
      <w:r>
        <w:rPr>
          <w:rFonts w:hint="eastAsia" w:ascii="仿宋_GB2312" w:hAnsi="仿宋" w:eastAsia="仿宋_GB2312" w:cs="仿宋"/>
          <w:b/>
          <w:bCs/>
          <w:sz w:val="32"/>
          <w:szCs w:val="32"/>
        </w:rPr>
        <w:t>13.优化馆藏结构，增强文献保障能力。</w:t>
      </w:r>
      <w:r>
        <w:rPr>
          <w:rFonts w:hint="eastAsia" w:ascii="仿宋_GB2312" w:hAnsi="仿宋" w:eastAsia="仿宋_GB2312" w:cs="仿宋"/>
          <w:sz w:val="32"/>
          <w:szCs w:val="32"/>
        </w:rPr>
        <w:t>科学分析馆藏文献资源配置，规划馆藏建设重点，加强地方文献建设工作，丰富主题文献资源。统筹纸质资源与数字资源，推进纸电融合，建立线上线下互为保障的文献入藏模式，构建多元文献资源保障体系。完善储存图书馆建设，满足文献保存需求。</w:t>
      </w:r>
    </w:p>
    <w:p>
      <w:pPr>
        <w:snapToGrid w:val="0"/>
        <w:ind w:left="-142" w:firstLine="562"/>
        <w:rPr>
          <w:rFonts w:ascii="仿宋_GB2312" w:hAnsi="仿宋" w:eastAsia="仿宋_GB2312" w:cs="仿宋"/>
          <w:sz w:val="32"/>
          <w:szCs w:val="32"/>
        </w:rPr>
      </w:pPr>
      <w:r>
        <w:rPr>
          <w:rFonts w:hint="eastAsia" w:ascii="仿宋_GB2312" w:hAnsi="仿宋" w:eastAsia="仿宋_GB2312" w:cs="仿宋"/>
          <w:b/>
          <w:bCs/>
          <w:sz w:val="32"/>
          <w:szCs w:val="32"/>
        </w:rPr>
        <w:t>14.深化信息服务，提升决策服务能力。</w:t>
      </w:r>
      <w:r>
        <w:rPr>
          <w:rFonts w:hint="eastAsia" w:ascii="仿宋_GB2312" w:hAnsi="仿宋" w:eastAsia="仿宋_GB2312" w:cs="仿宋"/>
          <w:sz w:val="32"/>
          <w:szCs w:val="32"/>
        </w:rPr>
        <w:t>优化参考咨询服务，立法决策服务、舆情服务、智库服务和科研服务内涵，提升服务层次。常态化为“两会”服务，在理论研究、咨政辅政、决策咨询等方面充分发挥作用。</w:t>
      </w:r>
    </w:p>
    <w:p>
      <w:pPr>
        <w:snapToGrid w:val="0"/>
        <w:ind w:left="-142" w:firstLine="562"/>
        <w:rPr>
          <w:rFonts w:ascii="仿宋_GB2312" w:hAnsi="仿宋" w:eastAsia="仿宋_GB2312" w:cs="仿宋"/>
          <w:sz w:val="32"/>
          <w:szCs w:val="32"/>
        </w:rPr>
      </w:pPr>
      <w:r>
        <w:rPr>
          <w:rFonts w:hint="eastAsia" w:ascii="仿宋_GB2312" w:hAnsi="仿宋" w:eastAsia="仿宋_GB2312" w:cs="仿宋"/>
          <w:b/>
          <w:bCs/>
          <w:sz w:val="32"/>
          <w:szCs w:val="32"/>
        </w:rPr>
        <w:t>15.聚融媒体力量，提升图书馆形象。</w:t>
      </w:r>
      <w:r>
        <w:rPr>
          <w:rFonts w:hint="eastAsia" w:ascii="仿宋_GB2312" w:hAnsi="仿宋" w:eastAsia="仿宋_GB2312" w:cs="仿宋"/>
          <w:sz w:val="32"/>
          <w:szCs w:val="32"/>
        </w:rPr>
        <w:t>整合提升官方微博、微信、网站、抖音、b站、今日头条等新媒体服务水平，创新表达方式，吸引更多读者关注图书馆，加强与读者的互动交流，增强读者粘性。充分运用各类媒体资源，整合图书馆新闻、活动资讯，拓宽媒体传播渠道，加大宣传力度，塑造和提升图书馆形象。</w:t>
      </w:r>
    </w:p>
    <w:p>
      <w:pPr>
        <w:snapToGrid w:val="0"/>
        <w:ind w:left="-142" w:firstLine="562"/>
        <w:rPr>
          <w:rFonts w:ascii="仿宋_GB2312" w:hAnsi="仿宋" w:eastAsia="仿宋_GB2312" w:cs="仿宋"/>
          <w:sz w:val="32"/>
          <w:szCs w:val="32"/>
        </w:rPr>
      </w:pPr>
      <w:r>
        <w:rPr>
          <w:rFonts w:hint="eastAsia" w:ascii="仿宋_GB2312" w:hAnsi="仿宋" w:eastAsia="仿宋_GB2312" w:cs="仿宋"/>
          <w:b/>
          <w:bCs/>
          <w:sz w:val="32"/>
          <w:szCs w:val="32"/>
        </w:rPr>
        <w:t>16.发挥省级馆辐射带动作用，提升区域影响力。</w:t>
      </w:r>
      <w:r>
        <w:rPr>
          <w:rFonts w:hint="eastAsia" w:ascii="仿宋_GB2312" w:hAnsi="仿宋" w:eastAsia="仿宋_GB2312" w:cs="仿宋"/>
          <w:sz w:val="32"/>
          <w:szCs w:val="32"/>
        </w:rPr>
        <w:t>充分发挥广西区域图书馆联盟、桂林市图书馆学会、广西科技工作者状况调查站点在会员服务、全民阅读、决策咨询、行业交流、行业凝聚力方面的作用，履行好协作协调、交流合作的职能，深化区域联动，推动图书馆各项业务走向纵深。</w:t>
      </w:r>
    </w:p>
    <w:p>
      <w:pPr>
        <w:snapToGrid w:val="0"/>
        <w:ind w:left="-142" w:firstLine="562"/>
        <w:rPr>
          <w:rFonts w:ascii="仿宋_GB2312" w:hAnsi="仿宋" w:eastAsia="仿宋_GB2312" w:cs="仿宋"/>
          <w:sz w:val="32"/>
          <w:szCs w:val="32"/>
        </w:rPr>
      </w:pPr>
      <w:r>
        <w:rPr>
          <w:rFonts w:hint="eastAsia" w:ascii="仿宋_GB2312" w:hAnsi="仿宋" w:eastAsia="仿宋_GB2312" w:cs="仿宋"/>
          <w:b/>
          <w:bCs/>
          <w:sz w:val="32"/>
          <w:szCs w:val="32"/>
        </w:rPr>
        <w:t>17.加强人才队伍建设，健全人才发展机制。</w:t>
      </w:r>
      <w:r>
        <w:rPr>
          <w:rFonts w:hint="eastAsia" w:ascii="仿宋_GB2312" w:hAnsi="仿宋" w:eastAsia="仿宋_GB2312" w:cs="仿宋"/>
          <w:sz w:val="32"/>
          <w:szCs w:val="32"/>
        </w:rPr>
        <w:t>做好人才规划，强化梯队建设，打造专业队伍，完善馆员培育和提升机制，深化组织文化建设，加强人文关怀，夯实现代图书馆发展的人才根基。做好基层业务辅导培训工作，为进一步提升服务效能打下坚实基础。</w:t>
      </w:r>
    </w:p>
    <w:p>
      <w:pPr>
        <w:snapToGrid w:val="0"/>
        <w:ind w:left="-142" w:firstLine="562"/>
        <w:rPr>
          <w:rFonts w:ascii="仿宋_GB2312" w:hAnsi="仿宋" w:eastAsia="仿宋_GB2312" w:cs="仿宋"/>
          <w:sz w:val="32"/>
          <w:szCs w:val="32"/>
        </w:rPr>
      </w:pPr>
      <w:r>
        <w:rPr>
          <w:rFonts w:hint="eastAsia" w:ascii="仿宋_GB2312" w:hAnsi="仿宋" w:eastAsia="仿宋_GB2312" w:cs="仿宋"/>
          <w:b/>
          <w:bCs/>
          <w:sz w:val="32"/>
          <w:szCs w:val="32"/>
        </w:rPr>
        <w:t>18.筑牢安全生产防线，提升风险应对能力。</w:t>
      </w:r>
      <w:r>
        <w:rPr>
          <w:rFonts w:hint="eastAsia" w:ascii="仿宋_GB2312" w:hAnsi="仿宋" w:eastAsia="仿宋_GB2312" w:cs="仿宋"/>
          <w:sz w:val="32"/>
          <w:szCs w:val="32"/>
        </w:rPr>
        <w:t>进一步强化安全风险防范措施，牢牢守住安全底线，按照安全管理、环境治理等相关要求，切实抓好疫情防控，公共安全应急管理，完善后勤保障。坚持做好疫情常态化防控工作，密切关注疫情形势变化，动态调整服务举措，全力保障本馆安全生产工作平稳、有序开展。</w:t>
      </w:r>
    </w:p>
    <w:p>
      <w:pPr>
        <w:spacing w:line="560" w:lineRule="exact"/>
        <w:jc w:val="center"/>
        <w:rPr>
          <w:rFonts w:ascii="仿宋_GB2312" w:hAnsi="仿宋_GB2312" w:eastAsia="仿宋_GB2312" w:cs="仿宋_GB2312"/>
          <w:b/>
          <w:bCs/>
          <w:color w:val="0000FF"/>
          <w:sz w:val="32"/>
          <w:szCs w:val="32"/>
        </w:rPr>
      </w:pPr>
    </w:p>
    <w:p>
      <w:pPr>
        <w:spacing w:line="560" w:lineRule="exact"/>
        <w:jc w:val="center"/>
        <w:rPr>
          <w:rFonts w:hint="eastAsia" w:ascii="仿宋_GB2312" w:hAnsi="仿宋_GB2312" w:eastAsia="仿宋_GB2312" w:cs="仿宋_GB2312"/>
          <w:b/>
          <w:bCs/>
          <w:sz w:val="32"/>
          <w:szCs w:val="32"/>
        </w:rPr>
      </w:pP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第二部分  广西壮族自治区桂林图书馆2023年单位预算</w:t>
      </w: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情况说明</w:t>
      </w:r>
    </w:p>
    <w:p>
      <w:pPr>
        <w:autoSpaceDE w:val="0"/>
        <w:autoSpaceDN w:val="0"/>
        <w:adjustRightInd w:val="0"/>
        <w:spacing w:line="586" w:lineRule="exact"/>
        <w:ind w:left="10" w:leftChars="5"/>
        <w:rPr>
          <w:rFonts w:ascii="仿宋_GB2312" w:eastAsia="仿宋_GB2312"/>
          <w:b/>
          <w:sz w:val="32"/>
          <w:szCs w:val="32"/>
        </w:rPr>
      </w:pPr>
      <w:r>
        <w:rPr>
          <w:rFonts w:hint="eastAsia" w:ascii="仿宋_GB2312" w:hAnsi="黑体" w:eastAsia="仿宋_GB2312"/>
          <w:b/>
          <w:sz w:val="32"/>
          <w:szCs w:val="32"/>
        </w:rPr>
        <w:t xml:space="preserve">     一、收支预算总体情况</w:t>
      </w:r>
    </w:p>
    <w:p>
      <w:pPr>
        <w:autoSpaceDE w:val="0"/>
        <w:autoSpaceDN w:val="0"/>
        <w:adjustRightInd w:val="0"/>
        <w:spacing w:line="586" w:lineRule="exact"/>
        <w:rPr>
          <w:rFonts w:ascii="仿宋_GB2312" w:eastAsia="仿宋_GB2312"/>
          <w:sz w:val="32"/>
          <w:szCs w:val="32"/>
        </w:rPr>
      </w:pPr>
      <w:r>
        <w:rPr>
          <w:rFonts w:hint="eastAsia" w:ascii="仿宋_GB2312" w:eastAsia="仿宋_GB2312"/>
          <w:sz w:val="32"/>
          <w:szCs w:val="32"/>
        </w:rPr>
        <w:t xml:space="preserve">     2023年收支总预算3815.56万元，同比增加980.34万元，增长34.58%。其中，收入包括：一般公共预算收入，支出包括：文化旅游体育与传媒支出、社会保障和就业支出、卫生健康支出、住房保障支出。</w:t>
      </w:r>
    </w:p>
    <w:p>
      <w:pPr>
        <w:autoSpaceDE w:val="0"/>
        <w:autoSpaceDN w:val="0"/>
        <w:adjustRightInd w:val="0"/>
        <w:spacing w:line="586" w:lineRule="exact"/>
        <w:ind w:left="-147" w:leftChars="-70" w:firstLine="787" w:firstLineChars="245"/>
        <w:rPr>
          <w:rFonts w:ascii="仿宋_GB2312" w:eastAsia="仿宋_GB2312"/>
          <w:b/>
          <w:sz w:val="32"/>
          <w:szCs w:val="32"/>
        </w:rPr>
      </w:pPr>
      <w:r>
        <w:rPr>
          <w:rFonts w:hint="eastAsia" w:ascii="仿宋_GB2312" w:hAnsi="黑体" w:eastAsia="仿宋_GB2312"/>
          <w:b/>
          <w:sz w:val="32"/>
          <w:szCs w:val="32"/>
        </w:rPr>
        <w:t>二、收入预算总体说明</w:t>
      </w:r>
    </w:p>
    <w:p>
      <w:pPr>
        <w:autoSpaceDE w:val="0"/>
        <w:autoSpaceDN w:val="0"/>
        <w:adjustRightInd w:val="0"/>
        <w:spacing w:line="586" w:lineRule="exact"/>
        <w:ind w:left="-147" w:leftChars="-70" w:firstLine="784" w:firstLineChars="245"/>
        <w:rPr>
          <w:rFonts w:ascii="仿宋_GB2312" w:eastAsia="仿宋_GB2312"/>
          <w:sz w:val="32"/>
          <w:szCs w:val="32"/>
        </w:rPr>
      </w:pPr>
      <w:r>
        <w:rPr>
          <w:rFonts w:hint="eastAsia" w:ascii="仿宋_GB2312" w:eastAsia="仿宋_GB2312"/>
          <w:sz w:val="32"/>
          <w:szCs w:val="32"/>
        </w:rPr>
        <w:t>收入预算说明：收入预算3815.56万元，同比增加980.34万元，增长34.58%。其中，一般公共预算收入3815.56,占总预算100%，同比增加980.34万元，增长34.58%。收入预算总体增加主要原因：一是根据相关规定提高了在职人员基本工资标准及新增人员工资，二是刚需项目纳入预算。</w:t>
      </w:r>
    </w:p>
    <w:p>
      <w:pPr>
        <w:autoSpaceDE w:val="0"/>
        <w:autoSpaceDN w:val="0"/>
        <w:adjustRightInd w:val="0"/>
        <w:spacing w:line="586" w:lineRule="exact"/>
        <w:ind w:left="-147" w:leftChars="-70" w:firstLine="787" w:firstLineChars="245"/>
        <w:rPr>
          <w:rFonts w:ascii="仿宋_GB2312" w:eastAsia="仿宋_GB2312"/>
          <w:b/>
          <w:sz w:val="32"/>
          <w:szCs w:val="32"/>
        </w:rPr>
      </w:pPr>
      <w:r>
        <w:rPr>
          <w:rFonts w:hint="eastAsia" w:ascii="仿宋_GB2312" w:hAnsi="黑体" w:eastAsia="仿宋_GB2312"/>
          <w:b/>
          <w:sz w:val="32"/>
          <w:szCs w:val="32"/>
        </w:rPr>
        <w:t>三、支出预算总体说明</w:t>
      </w:r>
    </w:p>
    <w:p>
      <w:pPr>
        <w:autoSpaceDE w:val="0"/>
        <w:autoSpaceDN w:val="0"/>
        <w:adjustRightInd w:val="0"/>
        <w:spacing w:line="586" w:lineRule="exact"/>
        <w:ind w:firstLine="627" w:firstLineChars="196"/>
        <w:rPr>
          <w:rFonts w:ascii="仿宋_GB2312" w:eastAsia="仿宋_GB2312"/>
          <w:sz w:val="32"/>
          <w:szCs w:val="32"/>
        </w:rPr>
      </w:pPr>
      <w:r>
        <w:rPr>
          <w:rFonts w:hint="eastAsia" w:ascii="仿宋_GB2312" w:eastAsia="仿宋_GB2312"/>
          <w:sz w:val="32"/>
          <w:szCs w:val="32"/>
        </w:rPr>
        <w:t>支出预算说明：支出预算3815.56万元，同比增加980.34万元，增长34.58%。其中，一般公共预算支出占总预算100%，同比增加980.34万元，增长34.58%，支出增长的主要原因与收入增长主要原因相同。</w:t>
      </w:r>
    </w:p>
    <w:p>
      <w:pPr>
        <w:autoSpaceDE w:val="0"/>
        <w:autoSpaceDN w:val="0"/>
        <w:adjustRightInd w:val="0"/>
        <w:spacing w:line="586" w:lineRule="exact"/>
        <w:ind w:firstLine="627" w:firstLineChars="196"/>
        <w:rPr>
          <w:rFonts w:ascii="仿宋_GB2312" w:eastAsia="仿宋_GB2312"/>
          <w:sz w:val="32"/>
          <w:szCs w:val="32"/>
        </w:rPr>
      </w:pPr>
      <w:r>
        <w:rPr>
          <w:rFonts w:hint="eastAsia" w:ascii="仿宋_GB2312" w:eastAsia="仿宋_GB2312"/>
          <w:sz w:val="32"/>
          <w:szCs w:val="32"/>
        </w:rPr>
        <w:t>1、按支出功能分类科目划分</w:t>
      </w:r>
    </w:p>
    <w:p>
      <w:pPr>
        <w:autoSpaceDE w:val="0"/>
        <w:autoSpaceDN w:val="0"/>
        <w:adjustRightInd w:val="0"/>
        <w:spacing w:line="586" w:lineRule="exact"/>
        <w:ind w:left="-147" w:leftChars="-70" w:firstLine="784" w:firstLineChars="245"/>
        <w:rPr>
          <w:rFonts w:ascii="仿宋_GB2312" w:eastAsia="仿宋_GB2312"/>
          <w:sz w:val="32"/>
          <w:szCs w:val="32"/>
        </w:rPr>
      </w:pPr>
      <w:r>
        <w:rPr>
          <w:rFonts w:hint="eastAsia" w:ascii="仿宋_GB2312" w:eastAsia="仿宋_GB2312"/>
          <w:sz w:val="32"/>
          <w:szCs w:val="32"/>
        </w:rPr>
        <w:t>（1）文化旅游体育与传媒支出预算2846.52万元，同比增加921.84万元，增长47.90%。支出增长的主要原因一是根据相关规定提高了在职人员基本工资标准及新增人员工资，二是刚需项目纳入预算。</w:t>
      </w:r>
    </w:p>
    <w:p>
      <w:pPr>
        <w:autoSpaceDE w:val="0"/>
        <w:autoSpaceDN w:val="0"/>
        <w:adjustRightInd w:val="0"/>
        <w:spacing w:line="586" w:lineRule="exact"/>
        <w:rPr>
          <w:rFonts w:ascii="仿宋_GB2312" w:eastAsia="仿宋_GB2312"/>
          <w:sz w:val="32"/>
          <w:szCs w:val="32"/>
        </w:rPr>
      </w:pPr>
      <w:r>
        <w:rPr>
          <w:rFonts w:hint="eastAsia" w:ascii="仿宋_GB2312" w:eastAsia="仿宋_GB2312"/>
          <w:sz w:val="32"/>
          <w:szCs w:val="32"/>
        </w:rPr>
        <w:t xml:space="preserve">    （2）社会保障和就业支出预算503.41万元，同比增加26.62万元，增长5.58%。支出增长的主要原因提高了在职人员保险标准及新增人员保险。</w:t>
      </w:r>
    </w:p>
    <w:p>
      <w:pPr>
        <w:autoSpaceDE w:val="0"/>
        <w:autoSpaceDN w:val="0"/>
        <w:adjustRightInd w:val="0"/>
        <w:spacing w:line="586" w:lineRule="exact"/>
        <w:rPr>
          <w:rFonts w:ascii="仿宋_GB2312" w:eastAsia="仿宋_GB2312"/>
          <w:sz w:val="32"/>
          <w:szCs w:val="32"/>
        </w:rPr>
      </w:pPr>
      <w:r>
        <w:rPr>
          <w:rFonts w:hint="eastAsia" w:ascii="仿宋_GB2312" w:eastAsia="仿宋_GB2312"/>
          <w:sz w:val="32"/>
          <w:szCs w:val="32"/>
        </w:rPr>
        <w:t xml:space="preserve">    （3）卫生健康支出预算268.14万元，同比增加17.59万元，增长7.02%。支出增长的主要原因提高了在职人员保险标准及新增人员保险。</w:t>
      </w:r>
    </w:p>
    <w:p>
      <w:pPr>
        <w:autoSpaceDE w:val="0"/>
        <w:autoSpaceDN w:val="0"/>
        <w:adjustRightInd w:val="0"/>
        <w:spacing w:line="586" w:lineRule="exact"/>
        <w:ind w:firstLine="627" w:firstLineChars="196"/>
        <w:rPr>
          <w:rFonts w:ascii="仿宋_GB2312" w:eastAsia="仿宋_GB2312"/>
          <w:sz w:val="32"/>
          <w:szCs w:val="32"/>
        </w:rPr>
      </w:pPr>
      <w:r>
        <w:rPr>
          <w:rFonts w:hint="eastAsia" w:ascii="仿宋_GB2312" w:eastAsia="仿宋_GB2312"/>
          <w:sz w:val="32"/>
          <w:szCs w:val="32"/>
        </w:rPr>
        <w:t>（4）住房保障支出预算197.50万元，同比增加14.30万元，增长7.81%。支出增长的主要原因提高了在职人员公积金标准及新增人员公积金。</w:t>
      </w:r>
    </w:p>
    <w:p>
      <w:pPr>
        <w:autoSpaceDE w:val="0"/>
        <w:autoSpaceDN w:val="0"/>
        <w:adjustRightInd w:val="0"/>
        <w:spacing w:line="586" w:lineRule="exact"/>
        <w:ind w:firstLine="627" w:firstLineChars="196"/>
        <w:rPr>
          <w:rFonts w:ascii="仿宋_GB2312" w:eastAsia="仿宋_GB2312"/>
          <w:sz w:val="32"/>
          <w:szCs w:val="32"/>
        </w:rPr>
      </w:pPr>
      <w:r>
        <w:rPr>
          <w:rFonts w:hint="eastAsia" w:ascii="仿宋_GB2312" w:eastAsia="仿宋_GB2312"/>
          <w:sz w:val="32"/>
          <w:szCs w:val="32"/>
        </w:rPr>
        <w:t>2、按支出结构划分，分为基本支出预算和项目支出预算。</w:t>
      </w:r>
    </w:p>
    <w:p>
      <w:pPr>
        <w:autoSpaceDE w:val="0"/>
        <w:autoSpaceDN w:val="0"/>
        <w:adjustRightInd w:val="0"/>
        <w:spacing w:line="586" w:lineRule="exact"/>
        <w:ind w:firstLine="470" w:firstLineChars="147"/>
        <w:rPr>
          <w:rFonts w:ascii="仿宋_GB2312" w:eastAsia="仿宋_GB2312"/>
          <w:sz w:val="32"/>
          <w:szCs w:val="32"/>
        </w:rPr>
      </w:pPr>
      <w:r>
        <w:rPr>
          <w:rFonts w:hint="eastAsia" w:ascii="仿宋_GB2312" w:eastAsia="仿宋_GB2312"/>
          <w:sz w:val="32"/>
          <w:szCs w:val="32"/>
        </w:rPr>
        <w:t>（1）基本支出预算2964.06万元，其中工资福利支出2622.29万元、商品和服务支出217.96万元、对个人和家庭的补助支出123.81万元。</w:t>
      </w:r>
    </w:p>
    <w:p>
      <w:pPr>
        <w:autoSpaceDE w:val="0"/>
        <w:autoSpaceDN w:val="0"/>
        <w:adjustRightInd w:val="0"/>
        <w:spacing w:line="586" w:lineRule="exact"/>
        <w:ind w:firstLine="470" w:firstLineChars="147"/>
        <w:rPr>
          <w:rFonts w:ascii="仿宋_GB2312" w:eastAsia="仿宋_GB2312"/>
          <w:sz w:val="32"/>
          <w:szCs w:val="32"/>
        </w:rPr>
      </w:pPr>
      <w:r>
        <w:rPr>
          <w:rFonts w:hint="eastAsia" w:ascii="仿宋_GB2312" w:eastAsia="仿宋_GB2312"/>
          <w:sz w:val="32"/>
          <w:szCs w:val="32"/>
        </w:rPr>
        <w:t>（2）项目支出预算851.50万元，其中：商品和服务支出851.50万元。</w:t>
      </w:r>
    </w:p>
    <w:p>
      <w:pPr>
        <w:autoSpaceDE w:val="0"/>
        <w:autoSpaceDN w:val="0"/>
        <w:adjustRightInd w:val="0"/>
        <w:spacing w:line="586" w:lineRule="exact"/>
        <w:ind w:firstLine="630" w:firstLineChars="196"/>
        <w:rPr>
          <w:rFonts w:ascii="仿宋_GB2312" w:eastAsia="仿宋_GB2312"/>
          <w:b/>
          <w:kern w:val="0"/>
          <w:sz w:val="32"/>
          <w:szCs w:val="32"/>
        </w:rPr>
      </w:pPr>
      <w:r>
        <w:rPr>
          <w:rFonts w:hint="eastAsia" w:ascii="仿宋_GB2312" w:hAnsi="黑体" w:eastAsia="仿宋_GB2312"/>
          <w:b/>
          <w:sz w:val="32"/>
          <w:szCs w:val="32"/>
        </w:rPr>
        <w:t>四、财政拨款收支预算总体情况说明</w:t>
      </w:r>
    </w:p>
    <w:p>
      <w:pPr>
        <w:autoSpaceDE w:val="0"/>
        <w:autoSpaceDN w:val="0"/>
        <w:adjustRightInd w:val="0"/>
        <w:spacing w:line="586" w:lineRule="exact"/>
        <w:ind w:firstLine="790" w:firstLineChars="247"/>
        <w:rPr>
          <w:rFonts w:ascii="仿宋_GB2312" w:eastAsia="仿宋_GB2312"/>
          <w:kern w:val="0"/>
          <w:sz w:val="32"/>
          <w:szCs w:val="32"/>
        </w:rPr>
      </w:pPr>
      <w:r>
        <w:rPr>
          <w:rFonts w:hint="eastAsia" w:ascii="仿宋_GB2312" w:eastAsia="仿宋_GB2312"/>
          <w:kern w:val="0"/>
          <w:sz w:val="32"/>
          <w:szCs w:val="32"/>
        </w:rPr>
        <w:t>财政拨款收入预算情况说明：财政拨款收入预算</w:t>
      </w:r>
      <w:r>
        <w:rPr>
          <w:rFonts w:hint="eastAsia" w:ascii="仿宋_GB2312" w:eastAsia="仿宋_GB2312"/>
          <w:sz w:val="32"/>
          <w:szCs w:val="32"/>
        </w:rPr>
        <w:t>3815.56万元</w:t>
      </w:r>
      <w:r>
        <w:rPr>
          <w:rFonts w:hint="eastAsia" w:ascii="仿宋_GB2312" w:eastAsia="仿宋_GB2312"/>
          <w:kern w:val="0"/>
          <w:sz w:val="32"/>
          <w:szCs w:val="32"/>
        </w:rPr>
        <w:t>，同比</w:t>
      </w:r>
      <w:r>
        <w:rPr>
          <w:rFonts w:hint="eastAsia" w:ascii="仿宋_GB2312" w:eastAsia="仿宋_GB2312"/>
          <w:sz w:val="32"/>
          <w:szCs w:val="32"/>
        </w:rPr>
        <w:t>增加980.34万元，增长34.58%。其中，一般公共预算3815.56万元。</w:t>
      </w:r>
    </w:p>
    <w:p>
      <w:pPr>
        <w:autoSpaceDE w:val="0"/>
        <w:autoSpaceDN w:val="0"/>
        <w:adjustRightInd w:val="0"/>
        <w:spacing w:line="586" w:lineRule="exact"/>
        <w:ind w:left="-147" w:leftChars="-70" w:firstLine="784" w:firstLineChars="245"/>
        <w:rPr>
          <w:rFonts w:ascii="仿宋_GB2312" w:eastAsia="仿宋_GB2312"/>
          <w:sz w:val="32"/>
          <w:szCs w:val="32"/>
        </w:rPr>
      </w:pPr>
      <w:r>
        <w:rPr>
          <w:rFonts w:hint="eastAsia" w:ascii="仿宋_GB2312" w:eastAsia="仿宋_GB2312"/>
          <w:sz w:val="32"/>
          <w:szCs w:val="32"/>
        </w:rPr>
        <w:t xml:space="preserve">财政拨款收入预算增加主要原因：一般公共预算收入增加原因一是根据相关规定提高了在职人员基本工资标准及新增人员工资，二是刚需项目纳入预算。 </w:t>
      </w:r>
    </w:p>
    <w:p>
      <w:pPr>
        <w:autoSpaceDE w:val="0"/>
        <w:autoSpaceDN w:val="0"/>
        <w:adjustRightInd w:val="0"/>
        <w:spacing w:line="586" w:lineRule="exact"/>
        <w:ind w:firstLine="627" w:firstLineChars="196"/>
        <w:rPr>
          <w:rFonts w:ascii="仿宋_GB2312" w:eastAsia="仿宋_GB2312"/>
          <w:sz w:val="32"/>
          <w:szCs w:val="32"/>
        </w:rPr>
      </w:pPr>
      <w:r>
        <w:rPr>
          <w:rFonts w:hint="eastAsia" w:ascii="仿宋_GB2312" w:eastAsia="仿宋_GB2312"/>
          <w:kern w:val="0"/>
          <w:sz w:val="32"/>
          <w:szCs w:val="32"/>
        </w:rPr>
        <w:t>财政拨款支出情况说明：财政拨款</w:t>
      </w:r>
      <w:r>
        <w:rPr>
          <w:rFonts w:hint="eastAsia" w:ascii="仿宋_GB2312" w:eastAsia="仿宋_GB2312"/>
          <w:sz w:val="32"/>
          <w:szCs w:val="32"/>
        </w:rPr>
        <w:t>支出预算3815.56万元</w:t>
      </w:r>
      <w:r>
        <w:rPr>
          <w:rFonts w:hint="eastAsia" w:ascii="仿宋_GB2312" w:eastAsia="仿宋_GB2312"/>
          <w:kern w:val="0"/>
          <w:sz w:val="32"/>
          <w:szCs w:val="32"/>
        </w:rPr>
        <w:t>，同比</w:t>
      </w:r>
      <w:r>
        <w:rPr>
          <w:rFonts w:hint="eastAsia" w:ascii="仿宋_GB2312" w:eastAsia="仿宋_GB2312"/>
          <w:sz w:val="32"/>
          <w:szCs w:val="32"/>
        </w:rPr>
        <w:t>增加980.34万元，增长34.58%。其中，一般公共预算3815.56万元，支出增长的主要原因与收入增长的主要原因相同。</w:t>
      </w:r>
    </w:p>
    <w:p>
      <w:pPr>
        <w:autoSpaceDE w:val="0"/>
        <w:autoSpaceDN w:val="0"/>
        <w:adjustRightInd w:val="0"/>
        <w:spacing w:line="586" w:lineRule="exact"/>
        <w:ind w:left="-147" w:leftChars="-70" w:firstLine="787" w:firstLineChars="245"/>
        <w:rPr>
          <w:rFonts w:ascii="仿宋_GB2312" w:eastAsia="仿宋_GB2312"/>
          <w:b/>
          <w:sz w:val="32"/>
          <w:szCs w:val="32"/>
        </w:rPr>
      </w:pPr>
      <w:r>
        <w:rPr>
          <w:rFonts w:hint="eastAsia" w:ascii="仿宋_GB2312" w:hAnsi="黑体" w:eastAsia="仿宋_GB2312"/>
          <w:b/>
          <w:sz w:val="32"/>
          <w:szCs w:val="32"/>
        </w:rPr>
        <w:t>五、一般公共预算支出情况说明</w:t>
      </w:r>
    </w:p>
    <w:p>
      <w:pPr>
        <w:autoSpaceDE w:val="0"/>
        <w:autoSpaceDN w:val="0"/>
        <w:adjustRightInd w:val="0"/>
        <w:spacing w:line="586" w:lineRule="exact"/>
        <w:ind w:left="-147" w:leftChars="-70" w:firstLine="470" w:firstLineChars="147"/>
        <w:rPr>
          <w:rFonts w:ascii="仿宋_GB2312" w:eastAsia="仿宋_GB2312"/>
          <w:sz w:val="32"/>
          <w:szCs w:val="32"/>
        </w:rPr>
      </w:pPr>
      <w:r>
        <w:rPr>
          <w:rFonts w:hint="eastAsia" w:ascii="仿宋_GB2312" w:eastAsia="仿宋_GB2312"/>
          <w:sz w:val="32"/>
          <w:szCs w:val="32"/>
        </w:rPr>
        <w:t>（一）总体情况说明</w:t>
      </w:r>
    </w:p>
    <w:p>
      <w:pPr>
        <w:autoSpaceDE w:val="0"/>
        <w:autoSpaceDN w:val="0"/>
        <w:adjustRightInd w:val="0"/>
        <w:spacing w:line="586" w:lineRule="exact"/>
        <w:ind w:left="-147" w:leftChars="-70" w:firstLine="470" w:firstLineChars="147"/>
        <w:rPr>
          <w:rFonts w:ascii="仿宋_GB2312" w:eastAsia="仿宋_GB2312"/>
          <w:sz w:val="32"/>
          <w:szCs w:val="32"/>
        </w:rPr>
      </w:pPr>
      <w:r>
        <w:rPr>
          <w:rFonts w:hint="eastAsia" w:ascii="仿宋_GB2312" w:hAnsi="仿宋" w:eastAsia="仿宋_GB2312"/>
          <w:sz w:val="32"/>
          <w:szCs w:val="32"/>
        </w:rPr>
        <w:t>一般公共预算支出</w:t>
      </w:r>
      <w:r>
        <w:rPr>
          <w:rFonts w:hint="eastAsia" w:ascii="仿宋_GB2312" w:eastAsia="仿宋_GB2312"/>
          <w:sz w:val="32"/>
          <w:szCs w:val="32"/>
        </w:rPr>
        <w:t>3815.56万元</w:t>
      </w:r>
      <w:r>
        <w:rPr>
          <w:rFonts w:hint="eastAsia" w:ascii="仿宋_GB2312" w:eastAsia="仿宋_GB2312"/>
          <w:kern w:val="0"/>
          <w:sz w:val="32"/>
          <w:szCs w:val="32"/>
        </w:rPr>
        <w:t>，同比</w:t>
      </w:r>
      <w:r>
        <w:rPr>
          <w:rFonts w:hint="eastAsia" w:ascii="仿宋_GB2312" w:eastAsia="仿宋_GB2312"/>
          <w:sz w:val="32"/>
          <w:szCs w:val="32"/>
        </w:rPr>
        <w:t>增加980.34万元，增长34.58%。</w:t>
      </w:r>
    </w:p>
    <w:p>
      <w:pPr>
        <w:autoSpaceDE w:val="0"/>
        <w:autoSpaceDN w:val="0"/>
        <w:adjustRightInd w:val="0"/>
        <w:spacing w:line="586" w:lineRule="exact"/>
        <w:ind w:left="317" w:leftChars="151"/>
        <w:rPr>
          <w:rFonts w:ascii="仿宋_GB2312" w:eastAsia="仿宋_GB2312"/>
          <w:sz w:val="32"/>
          <w:szCs w:val="32"/>
        </w:rPr>
      </w:pPr>
      <w:r>
        <w:rPr>
          <w:rFonts w:hint="eastAsia" w:ascii="仿宋_GB2312" w:eastAsia="仿宋_GB2312"/>
          <w:sz w:val="32"/>
          <w:szCs w:val="32"/>
        </w:rPr>
        <w:t>（二）按支出功能分类科目划分</w:t>
      </w:r>
    </w:p>
    <w:p>
      <w:pPr>
        <w:autoSpaceDE w:val="0"/>
        <w:autoSpaceDN w:val="0"/>
        <w:adjustRightInd w:val="0"/>
        <w:spacing w:line="586" w:lineRule="exact"/>
        <w:ind w:left="-147" w:leftChars="-70" w:firstLine="784" w:firstLineChars="245"/>
        <w:rPr>
          <w:rFonts w:ascii="仿宋_GB2312" w:eastAsia="仿宋_GB2312"/>
          <w:sz w:val="32"/>
          <w:szCs w:val="32"/>
        </w:rPr>
      </w:pPr>
      <w:r>
        <w:rPr>
          <w:rFonts w:hint="eastAsia" w:ascii="仿宋_GB2312" w:eastAsia="仿宋_GB2312"/>
          <w:sz w:val="32"/>
          <w:szCs w:val="32"/>
        </w:rPr>
        <w:t>（1）文化旅游体育与传媒支出预算2846.52万元，同比增加921.84万元，增长47.90%。支出增长的主要原因一是根据相关规定提高了在职人员基本工资标准及新增人员工资，二是刚需项目纳入预算。</w:t>
      </w:r>
    </w:p>
    <w:p>
      <w:pPr>
        <w:autoSpaceDE w:val="0"/>
        <w:autoSpaceDN w:val="0"/>
        <w:adjustRightInd w:val="0"/>
        <w:spacing w:line="586" w:lineRule="exact"/>
        <w:rPr>
          <w:rFonts w:ascii="仿宋_GB2312" w:eastAsia="仿宋_GB2312"/>
          <w:sz w:val="32"/>
          <w:szCs w:val="32"/>
        </w:rPr>
      </w:pPr>
      <w:r>
        <w:rPr>
          <w:rFonts w:hint="eastAsia" w:ascii="仿宋_GB2312" w:eastAsia="仿宋_GB2312"/>
          <w:sz w:val="32"/>
          <w:szCs w:val="32"/>
        </w:rPr>
        <w:t xml:space="preserve">    （2）社会保障和就业支出预算503.41万元，同比增加26.62万元，增长5.58%。支出增长的主要原因提高了在职人员保险标准及新增人员保险。</w:t>
      </w:r>
    </w:p>
    <w:p>
      <w:pPr>
        <w:autoSpaceDE w:val="0"/>
        <w:autoSpaceDN w:val="0"/>
        <w:adjustRightInd w:val="0"/>
        <w:spacing w:line="586" w:lineRule="exact"/>
        <w:rPr>
          <w:rFonts w:ascii="仿宋_GB2312" w:eastAsia="仿宋_GB2312"/>
          <w:sz w:val="32"/>
          <w:szCs w:val="32"/>
        </w:rPr>
      </w:pPr>
      <w:r>
        <w:rPr>
          <w:rFonts w:hint="eastAsia" w:ascii="仿宋_GB2312" w:eastAsia="仿宋_GB2312"/>
          <w:sz w:val="32"/>
          <w:szCs w:val="32"/>
        </w:rPr>
        <w:t xml:space="preserve">    （3）卫生健康支出预算268.14万元，同比增加17.59万元，增长7.02%。支出增长的主要原因提高了在职人员保险标准及新增人员保险。</w:t>
      </w:r>
    </w:p>
    <w:p>
      <w:pPr>
        <w:autoSpaceDE w:val="0"/>
        <w:autoSpaceDN w:val="0"/>
        <w:adjustRightInd w:val="0"/>
        <w:spacing w:line="586" w:lineRule="exact"/>
        <w:ind w:firstLine="627" w:firstLineChars="196"/>
        <w:rPr>
          <w:rFonts w:ascii="仿宋_GB2312" w:eastAsia="仿宋_GB2312"/>
          <w:sz w:val="32"/>
          <w:szCs w:val="32"/>
        </w:rPr>
      </w:pPr>
      <w:r>
        <w:rPr>
          <w:rFonts w:hint="eastAsia" w:ascii="仿宋_GB2312" w:eastAsia="仿宋_GB2312"/>
          <w:sz w:val="32"/>
          <w:szCs w:val="32"/>
        </w:rPr>
        <w:t>（4）住房保障支出预算197.50万元，同比增加14.30万元，增长7.81%。支出增长的主要原因提高了在职人员公积金标准及新增人员公积金。</w:t>
      </w:r>
    </w:p>
    <w:p>
      <w:pPr>
        <w:autoSpaceDE w:val="0"/>
        <w:autoSpaceDN w:val="0"/>
        <w:adjustRightInd w:val="0"/>
        <w:spacing w:line="586" w:lineRule="exact"/>
        <w:ind w:left="317" w:leftChars="151"/>
        <w:rPr>
          <w:rFonts w:ascii="仿宋_GB2312" w:eastAsia="仿宋_GB2312"/>
          <w:sz w:val="32"/>
          <w:szCs w:val="32"/>
        </w:rPr>
      </w:pPr>
    </w:p>
    <w:p>
      <w:pPr>
        <w:autoSpaceDE w:val="0"/>
        <w:autoSpaceDN w:val="0"/>
        <w:adjustRightInd w:val="0"/>
        <w:spacing w:line="586" w:lineRule="exact"/>
        <w:ind w:left="317" w:leftChars="151"/>
        <w:rPr>
          <w:rFonts w:ascii="仿宋_GB2312" w:eastAsia="仿宋_GB2312"/>
          <w:sz w:val="32"/>
          <w:szCs w:val="32"/>
        </w:rPr>
      </w:pPr>
      <w:r>
        <w:rPr>
          <w:rFonts w:hint="eastAsia" w:ascii="仿宋_GB2312" w:eastAsia="仿宋_GB2312"/>
          <w:sz w:val="32"/>
          <w:szCs w:val="32"/>
        </w:rPr>
        <w:t>（三）按支出结构划分，分为基本支出预算和项目支出预算。</w:t>
      </w:r>
    </w:p>
    <w:p>
      <w:pPr>
        <w:autoSpaceDE w:val="0"/>
        <w:autoSpaceDN w:val="0"/>
        <w:adjustRightInd w:val="0"/>
        <w:spacing w:line="586" w:lineRule="exact"/>
        <w:ind w:firstLine="470" w:firstLineChars="147"/>
        <w:rPr>
          <w:rFonts w:ascii="仿宋_GB2312" w:eastAsia="仿宋_GB2312"/>
          <w:sz w:val="32"/>
          <w:szCs w:val="32"/>
        </w:rPr>
      </w:pPr>
      <w:r>
        <w:rPr>
          <w:rFonts w:hint="eastAsia" w:ascii="仿宋_GB2312" w:eastAsia="仿宋_GB2312"/>
          <w:sz w:val="32"/>
          <w:szCs w:val="32"/>
        </w:rPr>
        <w:t>（1）基本支出预算2964.06万元，其中工资福利支出2622.29万元、商品和服务支出217.96万元、对个人和家庭的补助支出123.81万元。</w:t>
      </w:r>
    </w:p>
    <w:p>
      <w:pPr>
        <w:autoSpaceDE w:val="0"/>
        <w:autoSpaceDN w:val="0"/>
        <w:adjustRightInd w:val="0"/>
        <w:spacing w:line="586" w:lineRule="exact"/>
        <w:ind w:firstLine="470" w:firstLineChars="147"/>
        <w:rPr>
          <w:rFonts w:ascii="仿宋_GB2312" w:eastAsia="仿宋_GB2312"/>
          <w:sz w:val="32"/>
          <w:szCs w:val="32"/>
        </w:rPr>
      </w:pPr>
      <w:r>
        <w:rPr>
          <w:rFonts w:hint="eastAsia" w:ascii="仿宋_GB2312" w:eastAsia="仿宋_GB2312"/>
          <w:sz w:val="32"/>
          <w:szCs w:val="32"/>
        </w:rPr>
        <w:t>（2）项目支出预算851.50万元，其中：商品和服务支出851.50万元。</w:t>
      </w:r>
    </w:p>
    <w:p>
      <w:pPr>
        <w:autoSpaceDE w:val="0"/>
        <w:autoSpaceDN w:val="0"/>
        <w:adjustRightInd w:val="0"/>
        <w:spacing w:line="586" w:lineRule="exact"/>
        <w:ind w:firstLine="630" w:firstLineChars="196"/>
        <w:rPr>
          <w:rFonts w:ascii="仿宋_GB2312" w:eastAsia="仿宋_GB2312"/>
          <w:b/>
          <w:sz w:val="32"/>
          <w:szCs w:val="32"/>
        </w:rPr>
      </w:pPr>
      <w:r>
        <w:rPr>
          <w:rFonts w:hint="eastAsia" w:ascii="仿宋_GB2312" w:hAnsi="黑体" w:eastAsia="仿宋_GB2312"/>
          <w:b/>
          <w:sz w:val="32"/>
          <w:szCs w:val="32"/>
        </w:rPr>
        <w:t>六、一般公共预算基本支出情况说明</w:t>
      </w:r>
    </w:p>
    <w:p>
      <w:pPr>
        <w:autoSpaceDE w:val="0"/>
        <w:autoSpaceDN w:val="0"/>
        <w:adjustRightInd w:val="0"/>
        <w:spacing w:line="586" w:lineRule="exact"/>
        <w:ind w:firstLine="615"/>
        <w:rPr>
          <w:rFonts w:ascii="仿宋_GB2312" w:eastAsia="仿宋_GB2312"/>
          <w:sz w:val="32"/>
          <w:szCs w:val="32"/>
        </w:rPr>
      </w:pPr>
      <w:r>
        <w:rPr>
          <w:rFonts w:hint="eastAsia" w:ascii="仿宋_GB2312" w:eastAsia="仿宋_GB2312"/>
          <w:sz w:val="32"/>
          <w:szCs w:val="32"/>
        </w:rPr>
        <w:t xml:space="preserve">2023年一般公共预算基本支出2964.06万元，其中：人员经费2746.10万元，主要包括：基本工资、津贴补贴、奖金、绩效工资、基本养老保险缴费、基本医疗保险缴费、其他社会保障缴费、职业年金缴费、住房公积金、离休费、退休费、其他对个人和家庭的补助支出。 </w:t>
      </w:r>
    </w:p>
    <w:p>
      <w:pPr>
        <w:autoSpaceDE w:val="0"/>
        <w:autoSpaceDN w:val="0"/>
        <w:adjustRightInd w:val="0"/>
        <w:spacing w:line="586" w:lineRule="exact"/>
        <w:ind w:firstLine="615"/>
        <w:rPr>
          <w:rFonts w:ascii="仿宋_GB2312" w:eastAsia="仿宋_GB2312"/>
          <w:sz w:val="32"/>
          <w:szCs w:val="32"/>
        </w:rPr>
      </w:pPr>
      <w:r>
        <w:rPr>
          <w:rFonts w:hint="eastAsia" w:ascii="仿宋_GB2312" w:eastAsia="仿宋_GB2312"/>
          <w:sz w:val="32"/>
          <w:szCs w:val="32"/>
        </w:rPr>
        <w:t xml:space="preserve"> 公用经费217.96万元，主要包括：伙食补助、办公费、印刷费、水费、电费、邮电费、差旅费、维修（护）费、会议费、培训费、公务接待费、劳务费、工会经费、福利费、公务用车运行维护费、其他商品和服务支出。</w:t>
      </w:r>
    </w:p>
    <w:p>
      <w:pPr>
        <w:autoSpaceDE w:val="0"/>
        <w:autoSpaceDN w:val="0"/>
        <w:adjustRightInd w:val="0"/>
        <w:spacing w:line="586" w:lineRule="exact"/>
        <w:ind w:firstLine="633" w:firstLineChars="197"/>
        <w:rPr>
          <w:rFonts w:ascii="仿宋_GB2312" w:eastAsia="仿宋_GB2312"/>
          <w:b/>
          <w:sz w:val="32"/>
          <w:szCs w:val="32"/>
        </w:rPr>
      </w:pPr>
      <w:r>
        <w:rPr>
          <w:rFonts w:hint="eastAsia" w:ascii="仿宋_GB2312" w:hAnsi="黑体" w:eastAsia="仿宋_GB2312"/>
          <w:b/>
          <w:sz w:val="32"/>
          <w:szCs w:val="32"/>
        </w:rPr>
        <w:t>七、一般公共预算</w:t>
      </w:r>
      <w:r>
        <w:rPr>
          <w:rFonts w:hint="eastAsia" w:ascii="仿宋_GB2312" w:eastAsia="仿宋_GB2312"/>
          <w:b/>
          <w:sz w:val="32"/>
          <w:szCs w:val="32"/>
        </w:rPr>
        <w:t>“</w:t>
      </w:r>
      <w:r>
        <w:rPr>
          <w:rFonts w:hint="eastAsia" w:ascii="仿宋_GB2312" w:hAnsi="黑体" w:eastAsia="仿宋_GB2312"/>
          <w:b/>
          <w:sz w:val="32"/>
          <w:szCs w:val="32"/>
        </w:rPr>
        <w:t>三公</w:t>
      </w:r>
      <w:r>
        <w:rPr>
          <w:rFonts w:hint="eastAsia" w:ascii="仿宋_GB2312" w:eastAsia="仿宋_GB2312"/>
          <w:b/>
          <w:sz w:val="32"/>
          <w:szCs w:val="32"/>
        </w:rPr>
        <w:t>”</w:t>
      </w:r>
      <w:r>
        <w:rPr>
          <w:rFonts w:hint="eastAsia" w:ascii="仿宋_GB2312" w:hAnsi="黑体" w:eastAsia="仿宋_GB2312"/>
          <w:b/>
          <w:sz w:val="32"/>
          <w:szCs w:val="32"/>
        </w:rPr>
        <w:t>经费、会议和培训费说明</w:t>
      </w:r>
    </w:p>
    <w:p>
      <w:pPr>
        <w:autoSpaceDE w:val="0"/>
        <w:autoSpaceDN w:val="0"/>
        <w:adjustRightInd w:val="0"/>
        <w:spacing w:line="586" w:lineRule="exact"/>
        <w:ind w:firstLine="615"/>
        <w:rPr>
          <w:rFonts w:ascii="仿宋_GB2312" w:hAnsi="仿宋_GB2312" w:eastAsia="仿宋_GB2312" w:cs="仿宋_GB2312"/>
          <w:sz w:val="32"/>
          <w:szCs w:val="32"/>
        </w:rPr>
      </w:pPr>
      <w:r>
        <w:rPr>
          <w:rFonts w:hint="eastAsia" w:ascii="仿宋_GB2312" w:hAnsi="仿宋_GB2312" w:eastAsia="仿宋_GB2312" w:cs="仿宋_GB2312"/>
          <w:sz w:val="32"/>
          <w:szCs w:val="32"/>
        </w:rPr>
        <w:t>2023年一般公共预算“三公”经费6.35万元，同比增加0.08万元，增长1.28%。其中：</w:t>
      </w:r>
    </w:p>
    <w:p>
      <w:pPr>
        <w:autoSpaceDE w:val="0"/>
        <w:autoSpaceDN w:val="0"/>
        <w:adjustRightInd w:val="0"/>
        <w:spacing w:line="586" w:lineRule="exact"/>
        <w:ind w:left="-147" w:leftChars="-70" w:firstLine="156" w:firstLineChars="49"/>
        <w:rPr>
          <w:rFonts w:ascii="仿宋_GB2312" w:eastAsia="仿宋_GB2312"/>
          <w:sz w:val="32"/>
          <w:szCs w:val="32"/>
        </w:rPr>
      </w:pPr>
      <w:r>
        <w:rPr>
          <w:rFonts w:hint="eastAsia" w:ascii="仿宋_GB2312" w:eastAsia="仿宋_GB2312"/>
          <w:sz w:val="32"/>
          <w:szCs w:val="32"/>
        </w:rPr>
        <w:t xml:space="preserve">   1、因公出国经费2023年安排金额0万元，与上年同比不变。 </w:t>
      </w:r>
    </w:p>
    <w:p>
      <w:pPr>
        <w:autoSpaceDE w:val="0"/>
        <w:autoSpaceDN w:val="0"/>
        <w:adjustRightInd w:val="0"/>
        <w:spacing w:line="586" w:lineRule="exact"/>
        <w:ind w:left="-147" w:leftChars="-70" w:firstLine="640" w:firstLineChars="200"/>
        <w:rPr>
          <w:rFonts w:ascii="仿宋_GB2312" w:eastAsia="仿宋_GB2312"/>
          <w:sz w:val="32"/>
          <w:szCs w:val="32"/>
        </w:rPr>
      </w:pPr>
      <w:r>
        <w:rPr>
          <w:rFonts w:hint="eastAsia" w:ascii="仿宋_GB2312" w:eastAsia="仿宋_GB2312"/>
          <w:sz w:val="32"/>
          <w:szCs w:val="32"/>
        </w:rPr>
        <w:t>2、公务接待经费2023年安排金额2.25万元，与上年同比增加0.08万元，增长3.69%。原因是定额经费，人员增加。</w:t>
      </w:r>
    </w:p>
    <w:p>
      <w:pPr>
        <w:autoSpaceDE w:val="0"/>
        <w:autoSpaceDN w:val="0"/>
        <w:adjustRightInd w:val="0"/>
        <w:spacing w:line="586" w:lineRule="exact"/>
        <w:ind w:left="-147" w:leftChars="-70" w:firstLine="640" w:firstLineChars="200"/>
        <w:rPr>
          <w:rFonts w:ascii="仿宋_GB2312" w:eastAsia="仿宋_GB2312"/>
          <w:color w:val="FF0000"/>
          <w:sz w:val="32"/>
          <w:szCs w:val="32"/>
        </w:rPr>
      </w:pPr>
      <w:r>
        <w:rPr>
          <w:rFonts w:hint="eastAsia" w:ascii="仿宋_GB2312" w:eastAsia="仿宋_GB2312"/>
          <w:sz w:val="32"/>
          <w:szCs w:val="32"/>
        </w:rPr>
        <w:t>3、公务用车运行费2023年安排金额4.1万元，与上年同比不变。</w:t>
      </w:r>
    </w:p>
    <w:p>
      <w:pPr>
        <w:autoSpaceDE w:val="0"/>
        <w:autoSpaceDN w:val="0"/>
        <w:adjustRightInd w:val="0"/>
        <w:spacing w:line="586" w:lineRule="exact"/>
        <w:ind w:left="-147" w:leftChars="-70" w:firstLine="470" w:firstLineChars="147"/>
        <w:rPr>
          <w:rFonts w:ascii="仿宋_GB2312" w:eastAsia="仿宋_GB2312"/>
          <w:sz w:val="32"/>
          <w:szCs w:val="32"/>
        </w:rPr>
      </w:pPr>
      <w:r>
        <w:rPr>
          <w:rFonts w:hint="eastAsia" w:ascii="仿宋_GB2312" w:eastAsia="仿宋_GB2312"/>
          <w:sz w:val="32"/>
          <w:szCs w:val="32"/>
        </w:rPr>
        <w:t xml:space="preserve"> 4、会议费2023年安排金额2.40万元，与上年同比增加0.09万元，增长3.89%。原因是定额经费，人员增加。</w:t>
      </w:r>
    </w:p>
    <w:p>
      <w:pPr>
        <w:autoSpaceDE w:val="0"/>
        <w:autoSpaceDN w:val="0"/>
        <w:adjustRightInd w:val="0"/>
        <w:spacing w:line="586" w:lineRule="exact"/>
        <w:ind w:left="-147" w:leftChars="-70" w:firstLine="627" w:firstLineChars="196"/>
        <w:rPr>
          <w:rFonts w:ascii="仿宋_GB2312" w:eastAsia="仿宋_GB2312"/>
          <w:sz w:val="32"/>
          <w:szCs w:val="32"/>
        </w:rPr>
      </w:pPr>
      <w:r>
        <w:rPr>
          <w:rFonts w:hint="eastAsia" w:ascii="仿宋_GB2312" w:eastAsia="仿宋_GB2312"/>
          <w:sz w:val="32"/>
          <w:szCs w:val="32"/>
        </w:rPr>
        <w:t>5、培训费2023年安排金额3.15万元，与上年同比增加0.12万元，增长3.96%。原因是定额经费，人员增加。</w:t>
      </w:r>
    </w:p>
    <w:p>
      <w:pPr>
        <w:autoSpaceDE w:val="0"/>
        <w:autoSpaceDN w:val="0"/>
        <w:adjustRightInd w:val="0"/>
        <w:spacing w:line="586" w:lineRule="exact"/>
        <w:ind w:firstLine="472" w:firstLineChars="147"/>
        <w:rPr>
          <w:rFonts w:ascii="仿宋_GB2312" w:eastAsia="仿宋_GB2312"/>
          <w:b/>
          <w:sz w:val="32"/>
          <w:szCs w:val="32"/>
        </w:rPr>
      </w:pPr>
      <w:r>
        <w:rPr>
          <w:rFonts w:hint="eastAsia" w:ascii="仿宋_GB2312" w:hAnsi="黑体" w:eastAsia="仿宋_GB2312"/>
          <w:b/>
          <w:sz w:val="32"/>
          <w:szCs w:val="32"/>
        </w:rPr>
        <w:t>八、政府性基金预算情况说明</w:t>
      </w:r>
    </w:p>
    <w:p>
      <w:pPr>
        <w:autoSpaceDE w:val="0"/>
        <w:autoSpaceDN w:val="0"/>
        <w:adjustRightInd w:val="0"/>
        <w:spacing w:line="586" w:lineRule="exact"/>
        <w:ind w:firstLine="156" w:firstLineChars="49"/>
        <w:rPr>
          <w:rFonts w:ascii="仿宋_GB2312" w:hAnsi="仿宋" w:eastAsia="仿宋_GB2312"/>
          <w:sz w:val="32"/>
          <w:szCs w:val="32"/>
        </w:rPr>
      </w:pPr>
      <w:r>
        <w:rPr>
          <w:rFonts w:hint="eastAsia" w:ascii="仿宋_GB2312" w:eastAsia="仿宋_GB2312"/>
          <w:sz w:val="32"/>
          <w:szCs w:val="32"/>
        </w:rPr>
        <w:t xml:space="preserve">    </w:t>
      </w:r>
      <w:r>
        <w:rPr>
          <w:rFonts w:hint="eastAsia" w:ascii="仿宋_GB2312" w:hAnsi="仿宋" w:eastAsia="仿宋_GB2312"/>
          <w:kern w:val="0"/>
          <w:sz w:val="32"/>
          <w:szCs w:val="32"/>
        </w:rPr>
        <w:t>我单位2023年预算无使用</w:t>
      </w:r>
      <w:r>
        <w:rPr>
          <w:rFonts w:hint="eastAsia" w:ascii="仿宋_GB2312" w:hAnsi="仿宋" w:eastAsia="仿宋_GB2312"/>
          <w:sz w:val="32"/>
          <w:szCs w:val="32"/>
        </w:rPr>
        <w:t>政府性基金</w:t>
      </w:r>
      <w:r>
        <w:rPr>
          <w:rFonts w:hint="eastAsia" w:ascii="仿宋_GB2312" w:hAnsi="仿宋" w:eastAsia="仿宋_GB2312"/>
          <w:kern w:val="0"/>
          <w:sz w:val="32"/>
          <w:szCs w:val="32"/>
        </w:rPr>
        <w:t>预算安排的支出。</w:t>
      </w:r>
    </w:p>
    <w:p>
      <w:pPr>
        <w:autoSpaceDE w:val="0"/>
        <w:autoSpaceDN w:val="0"/>
        <w:adjustRightInd w:val="0"/>
        <w:spacing w:line="586" w:lineRule="exact"/>
        <w:ind w:firstLine="315" w:firstLineChars="98"/>
        <w:rPr>
          <w:rFonts w:ascii="仿宋_GB2312" w:eastAsia="仿宋_GB2312"/>
          <w:b/>
          <w:sz w:val="32"/>
          <w:szCs w:val="32"/>
        </w:rPr>
      </w:pPr>
      <w:r>
        <w:rPr>
          <w:rFonts w:hint="eastAsia" w:ascii="仿宋_GB2312" w:hAnsi="黑体" w:eastAsia="仿宋_GB2312"/>
          <w:b/>
          <w:sz w:val="32"/>
          <w:szCs w:val="32"/>
        </w:rPr>
        <w:t>九、国有资本经营预算情况说明</w:t>
      </w:r>
    </w:p>
    <w:p>
      <w:pPr>
        <w:autoSpaceDE w:val="0"/>
        <w:autoSpaceDN w:val="0"/>
        <w:adjustRightInd w:val="0"/>
        <w:spacing w:line="586" w:lineRule="exact"/>
        <w:ind w:firstLine="156" w:firstLineChars="49"/>
        <w:rPr>
          <w:rFonts w:ascii="仿宋_GB2312" w:hAnsi="仿宋" w:eastAsia="仿宋_GB2312"/>
          <w:kern w:val="0"/>
          <w:sz w:val="32"/>
          <w:szCs w:val="32"/>
        </w:rPr>
      </w:pPr>
      <w:r>
        <w:rPr>
          <w:rFonts w:hint="eastAsia" w:ascii="仿宋_GB2312" w:eastAsia="仿宋_GB2312"/>
          <w:sz w:val="32"/>
          <w:szCs w:val="32"/>
        </w:rPr>
        <w:t xml:space="preserve">   </w:t>
      </w:r>
      <w:r>
        <w:rPr>
          <w:rFonts w:hint="eastAsia" w:ascii="仿宋_GB2312" w:hAnsi="仿宋" w:eastAsia="仿宋_GB2312"/>
          <w:kern w:val="0"/>
          <w:sz w:val="32"/>
          <w:szCs w:val="32"/>
        </w:rPr>
        <w:t>我单位2023年预算无使用</w:t>
      </w:r>
      <w:r>
        <w:rPr>
          <w:rFonts w:hint="eastAsia" w:ascii="仿宋_GB2312" w:hAnsi="黑体" w:eastAsia="仿宋_GB2312"/>
          <w:sz w:val="32"/>
          <w:szCs w:val="32"/>
        </w:rPr>
        <w:t>国有资本经营</w:t>
      </w:r>
      <w:r>
        <w:rPr>
          <w:rFonts w:hint="eastAsia" w:ascii="仿宋_GB2312" w:hAnsi="仿宋" w:eastAsia="仿宋_GB2312"/>
          <w:kern w:val="0"/>
          <w:sz w:val="32"/>
          <w:szCs w:val="32"/>
        </w:rPr>
        <w:t>预算安排的支出。</w:t>
      </w:r>
    </w:p>
    <w:p>
      <w:pPr>
        <w:autoSpaceDE w:val="0"/>
        <w:autoSpaceDN w:val="0"/>
        <w:adjustRightInd w:val="0"/>
        <w:spacing w:line="586" w:lineRule="exact"/>
        <w:ind w:firstLine="156" w:firstLineChars="49"/>
        <w:rPr>
          <w:rFonts w:ascii="仿宋_GB2312" w:hAnsi="黑体" w:eastAsia="仿宋_GB2312"/>
          <w:b/>
          <w:sz w:val="32"/>
          <w:szCs w:val="32"/>
        </w:rPr>
      </w:pPr>
      <w:r>
        <w:rPr>
          <w:rFonts w:hint="eastAsia" w:ascii="仿宋_GB2312" w:hAnsi="黑体" w:eastAsia="仿宋_GB2312"/>
          <w:sz w:val="32"/>
          <w:szCs w:val="32"/>
        </w:rPr>
        <w:t xml:space="preserve"> </w:t>
      </w:r>
      <w:r>
        <w:rPr>
          <w:rFonts w:hint="eastAsia" w:ascii="仿宋_GB2312" w:hAnsi="黑体" w:eastAsia="仿宋_GB2312"/>
          <w:b/>
          <w:sz w:val="32"/>
          <w:szCs w:val="32"/>
        </w:rPr>
        <w:t>十、其他重要事项情况说明</w:t>
      </w:r>
    </w:p>
    <w:p>
      <w:pPr>
        <w:autoSpaceDE w:val="0"/>
        <w:autoSpaceDN w:val="0"/>
        <w:adjustRightInd w:val="0"/>
        <w:spacing w:line="586" w:lineRule="exact"/>
        <w:ind w:firstLine="313" w:firstLineChars="98"/>
        <w:rPr>
          <w:rFonts w:ascii="仿宋_GB2312" w:hAnsi="仿宋_GB2312" w:eastAsia="仿宋_GB2312" w:cs="仿宋_GB2312"/>
          <w:b/>
          <w:sz w:val="32"/>
          <w:szCs w:val="32"/>
        </w:rPr>
      </w:pPr>
      <w:r>
        <w:rPr>
          <w:rFonts w:hint="eastAsia" w:ascii="仿宋_GB2312" w:hAnsi="黑体" w:eastAsia="仿宋_GB2312"/>
          <w:sz w:val="32"/>
          <w:szCs w:val="32"/>
        </w:rPr>
        <w:t xml:space="preserve">  </w:t>
      </w:r>
      <w:r>
        <w:rPr>
          <w:rFonts w:hint="eastAsia" w:ascii="仿宋_GB2312" w:hAnsi="仿宋_GB2312" w:eastAsia="仿宋_GB2312" w:cs="仿宋_GB2312"/>
          <w:b/>
          <w:sz w:val="32"/>
          <w:szCs w:val="32"/>
        </w:rPr>
        <w:t>（一）运行经费情况说明</w:t>
      </w:r>
    </w:p>
    <w:p>
      <w:pPr>
        <w:autoSpaceDE w:val="0"/>
        <w:autoSpaceDN w:val="0"/>
        <w:adjustRightInd w:val="0"/>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2023年广西壮族自治区桂林图书馆运行经费总预算</w:t>
      </w:r>
      <w:r>
        <w:rPr>
          <w:rFonts w:hint="eastAsia" w:ascii="仿宋_GB2312" w:hAnsi="仿宋_GB2312" w:eastAsia="仿宋_GB2312" w:cs="仿宋_GB2312"/>
          <w:sz w:val="32"/>
          <w:szCs w:val="32"/>
        </w:rPr>
        <w:t>217.96万元，同比增加8.40万元，增长4.01％。增加原因为：增加新进人员。按支出经济分类科目</w:t>
      </w:r>
      <w:r>
        <w:rPr>
          <w:rFonts w:hint="eastAsia" w:ascii="仿宋_GB2312" w:hAnsi="仿宋_GB2312" w:eastAsia="仿宋_GB2312" w:cs="仿宋_GB2312"/>
          <w:sz w:val="32"/>
          <w:szCs w:val="32"/>
          <w:shd w:val="clear" w:color="auto" w:fill="FFFFFF"/>
        </w:rPr>
        <w:t>具体包括办公费12.23万元、印刷费2.48万元、水费2.63万元、电费11.92万元、邮电费4.95万元、差旅费50.79万元、维修（护）费3.25万元、会议费2.40万元、培训费3.15万元、公务接待费2.25万元、工会经费22.17万元、福利费3.32万元、公务用车运行维护费4.10万元、其他商品和服务支出92.31万元。</w:t>
      </w:r>
    </w:p>
    <w:p>
      <w:pPr>
        <w:autoSpaceDE w:val="0"/>
        <w:autoSpaceDN w:val="0"/>
        <w:adjustRightInd w:val="0"/>
        <w:snapToGrid w:val="0"/>
        <w:spacing w:line="586" w:lineRule="exact"/>
        <w:ind w:firstLine="315" w:firstLineChars="98"/>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（二）国有资产情况说明</w:t>
      </w:r>
    </w:p>
    <w:p>
      <w:pPr>
        <w:autoSpaceDE w:val="0"/>
        <w:autoSpaceDN w:val="0"/>
        <w:adjustRightInd w:val="0"/>
        <w:snapToGrid w:val="0"/>
        <w:spacing w:line="586" w:lineRule="exact"/>
        <w:ind w:firstLine="313" w:firstLineChars="98"/>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本单位固定资产总额10940.64万元。其中：土地、房屋及构筑物922.67万元，通用设备1663.88万元，专用设备12.57万元，图书、档案7113.37万元，家具、用具、装具及动植物1228.15万元，无形资产757.46万元。单位车辆编制3辆，车辆实有3辆，单位价值200万元以上大型设备0台(套)。</w:t>
      </w:r>
    </w:p>
    <w:p>
      <w:pPr>
        <w:autoSpaceDE w:val="0"/>
        <w:autoSpaceDN w:val="0"/>
        <w:adjustRightInd w:val="0"/>
        <w:snapToGrid w:val="0"/>
        <w:spacing w:line="586" w:lineRule="exact"/>
        <w:ind w:firstLine="315" w:firstLineChars="98"/>
        <w:rPr>
          <w:rFonts w:ascii="仿宋_GB2312" w:hAnsi="仿宋_GB2312" w:eastAsia="仿宋_GB2312" w:cs="仿宋_GB2312"/>
          <w:b/>
          <w:sz w:val="32"/>
          <w:szCs w:val="32"/>
        </w:rPr>
      </w:pPr>
      <w:r>
        <w:rPr>
          <w:rFonts w:hint="eastAsia" w:ascii="仿宋_GB2312" w:hAnsi="仿宋_GB2312" w:eastAsia="仿宋_GB2312" w:cs="仿宋_GB2312"/>
          <w:b/>
          <w:sz w:val="32"/>
          <w:szCs w:val="32"/>
        </w:rPr>
        <w:t>（三）重点项目预算绩效目标等情况说明</w:t>
      </w:r>
    </w:p>
    <w:p>
      <w:pPr>
        <w:autoSpaceDE w:val="0"/>
        <w:autoSpaceDN w:val="0"/>
        <w:adjustRightInd w:val="0"/>
        <w:spacing w:line="586" w:lineRule="exact"/>
        <w:ind w:left="-147" w:leftChars="-70" w:firstLine="470" w:firstLineChars="147"/>
        <w:rPr>
          <w:rFonts w:ascii="仿宋_GB2312" w:hAnsi="仿宋_GB2312" w:eastAsia="仿宋_GB2312" w:cs="仿宋_GB2312"/>
          <w:sz w:val="32"/>
          <w:szCs w:val="32"/>
        </w:rPr>
      </w:pPr>
      <w:r>
        <w:rPr>
          <w:rFonts w:hint="eastAsia" w:ascii="仿宋_GB2312" w:hAnsi="仿宋_GB2312" w:eastAsia="仿宋_GB2312" w:cs="仿宋_GB2312"/>
          <w:sz w:val="32"/>
          <w:szCs w:val="32"/>
        </w:rPr>
        <w:t>本单位2023年部门预算所有项目均已编制绩效目标、立项情况、实施进度计划和年度目标等情况如下：</w:t>
      </w:r>
    </w:p>
    <w:p>
      <w:p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color w:val="0000FF"/>
          <w:sz w:val="32"/>
          <w:szCs w:val="32"/>
        </w:rPr>
        <w:t xml:space="preserve">   </w:t>
      </w:r>
      <w:r>
        <w:rPr>
          <w:rFonts w:hint="eastAsia" w:ascii="仿宋_GB2312" w:hAnsi="仿宋_GB2312" w:eastAsia="仿宋_GB2312" w:cs="仿宋_GB2312"/>
          <w:b/>
          <w:bCs/>
          <w:sz w:val="32"/>
          <w:szCs w:val="32"/>
        </w:rPr>
        <w:t xml:space="preserve"> 1、残疾人保障金项目预算金额：8.5万元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（1）立项情况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根据《中华人民共和国残疾</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保障法》、《残疾人就业条例》（国务院第488号令）及桂财税（2016）47号文件规定，各机关、团体、企业、事业单位和民办非企业单位等各类用人单位安排残疾人就业比例少于本单位在职职工（含签订劳动用工合同的临时工）总数1.5%的，均应缴纳保障金。我单位无法安排残疾人就业，因此应按在职人员年工资总额的1.5%缴纳残疾人保障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（2）实施进度计划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2023年6月30日前完成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（3）年度绩效目标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及时申报、缴纳残疾人就业保障金。</w:t>
      </w:r>
    </w:p>
    <w:p>
      <w:pPr>
        <w:spacing w:line="560" w:lineRule="exact"/>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2、免费开放补助预算金额：180万元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（1）立项依据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《广西壮族自治区财政厅关于下达 2023 年桂林图书馆免费开放补助经费的通知》（桂财教 〔2023〕8 号）要求。</w:t>
      </w:r>
    </w:p>
    <w:p>
      <w:pPr>
        <w:spacing w:line="560" w:lineRule="exact"/>
        <w:ind w:left="210"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（2）实施进度计划</w:t>
      </w:r>
    </w:p>
    <w:p>
      <w:pPr>
        <w:autoSpaceDE w:val="0"/>
        <w:autoSpaceDN w:val="0"/>
        <w:adjustRightInd w:val="0"/>
        <w:spacing w:line="58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预计2023年12月31日前完成；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（3）年度绩效目标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目标（1）：桂林图书馆免费开放。</w:t>
      </w:r>
    </w:p>
    <w:p>
      <w:pPr>
        <w:spacing w:line="560" w:lineRule="exact"/>
        <w:ind w:firstLine="640" w:firstLineChars="200"/>
      </w:pPr>
      <w:r>
        <w:rPr>
          <w:rFonts w:hint="eastAsia" w:ascii="仿宋_GB2312" w:hAnsi="仿宋_GB2312" w:eastAsia="仿宋_GB2312" w:cs="仿宋_GB2312"/>
          <w:sz w:val="32"/>
          <w:szCs w:val="32"/>
        </w:rPr>
        <w:t>目标（2）：提升桂林图书馆公共文化服务水平。</w:t>
      </w:r>
    </w:p>
    <w:p/>
    <w:p>
      <w:pPr>
        <w:autoSpaceDE w:val="0"/>
        <w:autoSpaceDN w:val="0"/>
        <w:adjustRightInd w:val="0"/>
        <w:spacing w:line="586" w:lineRule="exact"/>
        <w:ind w:left="-147" w:leftChars="-70" w:firstLine="630" w:firstLineChars="196"/>
        <w:jc w:val="center"/>
        <w:rPr>
          <w:rFonts w:hint="eastAsia" w:ascii="仿宋_GB2312" w:hAnsi="仿宋_GB2312" w:eastAsia="仿宋_GB2312" w:cs="仿宋_GB2312"/>
          <w:b/>
          <w:sz w:val="32"/>
          <w:szCs w:val="32"/>
        </w:rPr>
      </w:pPr>
    </w:p>
    <w:p>
      <w:pPr>
        <w:autoSpaceDE w:val="0"/>
        <w:autoSpaceDN w:val="0"/>
        <w:adjustRightInd w:val="0"/>
        <w:spacing w:line="586" w:lineRule="exact"/>
        <w:ind w:left="-147" w:leftChars="-70" w:firstLine="630" w:firstLineChars="196"/>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第三部分 专业名词解释</w:t>
      </w:r>
    </w:p>
    <w:p>
      <w:pPr>
        <w:pStyle w:val="4"/>
        <w:shd w:val="clear" w:color="auto" w:fill="FFFFFF"/>
        <w:spacing w:before="274" w:beforeAutospacing="0" w:after="274" w:afterAutospacing="0" w:line="560" w:lineRule="exact"/>
        <w:ind w:firstLine="720"/>
        <w:rPr>
          <w:rFonts w:ascii="仿宋_GB2312" w:hAnsi="仿宋_GB2312" w:eastAsia="仿宋_GB2312" w:cs="仿宋_GB2312"/>
          <w:color w:val="636267"/>
          <w:sz w:val="32"/>
          <w:szCs w:val="32"/>
        </w:rPr>
      </w:pPr>
      <w:r>
        <w:rPr>
          <w:rFonts w:hint="eastAsia" w:ascii="仿宋_GB2312" w:hAnsi="仿宋_GB2312" w:eastAsia="仿宋_GB2312" w:cs="仿宋_GB2312"/>
          <w:color w:val="000000"/>
          <w:sz w:val="32"/>
          <w:szCs w:val="32"/>
          <w:shd w:val="clear" w:color="auto" w:fill="FFFFFF"/>
        </w:rPr>
        <w:t>此次《预算公开表》中涉及的支出功能分类项级科目共五个，具体如下：</w:t>
      </w:r>
    </w:p>
    <w:p>
      <w:pPr>
        <w:pStyle w:val="4"/>
        <w:shd w:val="clear" w:color="auto" w:fill="FFFFFF"/>
        <w:spacing w:before="274" w:beforeAutospacing="0" w:after="274" w:afterAutospacing="0" w:line="560" w:lineRule="exact"/>
        <w:ind w:firstLine="72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一、图书馆（2070104）</w:t>
      </w:r>
    </w:p>
    <w:p>
      <w:pPr>
        <w:pStyle w:val="4"/>
        <w:shd w:val="clear" w:color="auto" w:fill="FFFFFF"/>
        <w:spacing w:before="274" w:beforeAutospacing="0" w:after="274" w:afterAutospacing="0" w:line="560" w:lineRule="exact"/>
        <w:ind w:firstLine="72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主要反映广西壮族自治区桂林图书馆用于人员经费、机构运转经费以及开展专业业务活动的支出。</w:t>
      </w:r>
    </w:p>
    <w:p>
      <w:pPr>
        <w:pStyle w:val="4"/>
        <w:shd w:val="clear" w:color="auto" w:fill="FFFFFF"/>
        <w:spacing w:before="274" w:beforeAutospacing="0" w:after="274" w:afterAutospacing="0" w:line="560" w:lineRule="exact"/>
        <w:ind w:firstLine="72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二、其他文化支出（2070199）</w:t>
      </w:r>
    </w:p>
    <w:p>
      <w:pPr>
        <w:pStyle w:val="4"/>
        <w:shd w:val="clear" w:color="auto" w:fill="FFFFFF"/>
        <w:spacing w:before="274" w:beforeAutospacing="0" w:after="274" w:afterAutospacing="0" w:line="560" w:lineRule="exact"/>
        <w:ind w:firstLine="72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主要反映上述科目以外的其他文化方面的支出。</w:t>
      </w:r>
    </w:p>
    <w:p>
      <w:pPr>
        <w:pStyle w:val="4"/>
        <w:shd w:val="clear" w:color="auto" w:fill="FFFFFF"/>
        <w:spacing w:before="274" w:beforeAutospacing="0" w:after="274" w:afterAutospacing="0" w:line="560" w:lineRule="exact"/>
        <w:ind w:firstLine="72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三、事业单位医疗（2101102）</w:t>
      </w:r>
    </w:p>
    <w:p>
      <w:pPr>
        <w:pStyle w:val="4"/>
        <w:shd w:val="clear" w:color="auto" w:fill="FFFFFF"/>
        <w:spacing w:before="274" w:beforeAutospacing="0" w:after="274" w:afterAutospacing="0" w:line="560" w:lineRule="exact"/>
        <w:ind w:firstLine="72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主要反映单位的基本医疗保险缴费支出。</w:t>
      </w:r>
    </w:p>
    <w:p>
      <w:pPr>
        <w:pStyle w:val="4"/>
        <w:shd w:val="clear" w:color="auto" w:fill="FFFFFF"/>
        <w:spacing w:before="274" w:beforeAutospacing="0" w:after="274" w:afterAutospacing="0" w:line="560" w:lineRule="exact"/>
        <w:ind w:firstLine="72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四、公务员医疗补助（2101103）</w:t>
      </w:r>
    </w:p>
    <w:p>
      <w:pPr>
        <w:pStyle w:val="4"/>
        <w:shd w:val="clear" w:color="auto" w:fill="FFFFFF"/>
        <w:spacing w:before="274" w:beforeAutospacing="0" w:after="274" w:afterAutospacing="0" w:line="560" w:lineRule="exact"/>
        <w:ind w:firstLine="72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主要反映单位的医疗补助支出。</w:t>
      </w:r>
    </w:p>
    <w:p>
      <w:pPr>
        <w:pStyle w:val="4"/>
        <w:shd w:val="clear" w:color="auto" w:fill="FFFFFF"/>
        <w:spacing w:before="274" w:beforeAutospacing="0" w:after="274" w:afterAutospacing="0" w:line="560" w:lineRule="exact"/>
        <w:ind w:firstLine="72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五、住房公积金（2210201）</w:t>
      </w:r>
    </w:p>
    <w:p>
      <w:pPr>
        <w:pStyle w:val="4"/>
        <w:shd w:val="clear" w:color="auto" w:fill="FFFFFF"/>
        <w:spacing w:before="274" w:beforeAutospacing="0" w:after="274" w:afterAutospacing="0" w:line="560" w:lineRule="exact"/>
        <w:ind w:firstLine="72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主要反映单位按人力资源和社会保障部、财政部规定的基本工资和津补贴以及规定比例为职工缴纳的住房公积金。</w:t>
      </w:r>
    </w:p>
    <w:p>
      <w:pPr>
        <w:autoSpaceDE w:val="0"/>
        <w:autoSpaceDN w:val="0"/>
        <w:adjustRightInd w:val="0"/>
        <w:spacing w:line="586" w:lineRule="exact"/>
        <w:ind w:left="-147" w:leftChars="-70" w:firstLine="626" w:firstLineChars="195"/>
        <w:rPr>
          <w:rFonts w:hint="eastAsia" w:ascii="仿宋_GB2312" w:hAnsi="黑体" w:eastAsia="仿宋_GB2312"/>
          <w:b/>
          <w:sz w:val="32"/>
          <w:szCs w:val="32"/>
        </w:rPr>
      </w:pPr>
      <w:r>
        <w:rPr>
          <w:rFonts w:hint="eastAsia" w:ascii="仿宋_GB2312" w:hAnsi="黑体" w:eastAsia="仿宋_GB2312"/>
          <w:b/>
          <w:sz w:val="32"/>
          <w:szCs w:val="32"/>
        </w:rPr>
        <w:t xml:space="preserve">            </w:t>
      </w:r>
    </w:p>
    <w:p>
      <w:pPr>
        <w:autoSpaceDE w:val="0"/>
        <w:autoSpaceDN w:val="0"/>
        <w:adjustRightInd w:val="0"/>
        <w:spacing w:line="586" w:lineRule="exact"/>
        <w:ind w:left="-147" w:leftChars="-70" w:firstLine="626" w:firstLineChars="195"/>
        <w:rPr>
          <w:rFonts w:hint="eastAsia" w:ascii="仿宋_GB2312" w:hAnsi="黑体" w:eastAsia="仿宋_GB2312"/>
          <w:b/>
          <w:sz w:val="32"/>
          <w:szCs w:val="32"/>
        </w:rPr>
      </w:pPr>
    </w:p>
    <w:p>
      <w:pPr>
        <w:autoSpaceDE w:val="0"/>
        <w:autoSpaceDN w:val="0"/>
        <w:adjustRightInd w:val="0"/>
        <w:spacing w:line="586" w:lineRule="exact"/>
        <w:ind w:left="-147" w:leftChars="-70" w:firstLine="626" w:firstLineChars="195"/>
        <w:rPr>
          <w:rFonts w:hint="eastAsia" w:ascii="仿宋_GB2312" w:hAnsi="黑体" w:eastAsia="仿宋_GB2312"/>
          <w:b/>
          <w:sz w:val="32"/>
          <w:szCs w:val="32"/>
        </w:rPr>
      </w:pPr>
    </w:p>
    <w:p>
      <w:pPr>
        <w:autoSpaceDE w:val="0"/>
        <w:autoSpaceDN w:val="0"/>
        <w:adjustRightInd w:val="0"/>
        <w:spacing w:line="586" w:lineRule="exact"/>
        <w:ind w:left="-147" w:leftChars="-70" w:firstLine="626" w:firstLineChars="195"/>
        <w:rPr>
          <w:rFonts w:ascii="仿宋_GB2312" w:eastAsia="仿宋_GB2312"/>
          <w:b/>
          <w:sz w:val="32"/>
          <w:szCs w:val="32"/>
        </w:rPr>
      </w:pPr>
      <w:r>
        <w:rPr>
          <w:rFonts w:hint="eastAsia" w:ascii="仿宋_GB2312" w:hAnsi="黑体" w:eastAsia="仿宋_GB2312"/>
          <w:b/>
          <w:sz w:val="32"/>
          <w:szCs w:val="32"/>
        </w:rPr>
        <w:t xml:space="preserve">               第四部分</w:t>
      </w:r>
      <w:r>
        <w:rPr>
          <w:rFonts w:hint="eastAsia" w:ascii="仿宋_GB2312" w:eastAsia="仿宋_GB2312"/>
          <w:b/>
          <w:sz w:val="32"/>
          <w:szCs w:val="32"/>
        </w:rPr>
        <w:t xml:space="preserve"> </w:t>
      </w:r>
      <w:r>
        <w:rPr>
          <w:rFonts w:hint="eastAsia" w:ascii="仿宋_GB2312" w:hAnsi="黑体" w:eastAsia="仿宋_GB2312"/>
          <w:b/>
          <w:sz w:val="32"/>
          <w:szCs w:val="32"/>
        </w:rPr>
        <w:t>单位预算报表</w:t>
      </w:r>
    </w:p>
    <w:p>
      <w:pPr>
        <w:adjustRightInd w:val="0"/>
        <w:snapToGrid w:val="0"/>
        <w:spacing w:line="586" w:lineRule="exact"/>
        <w:ind w:firstLine="470" w:firstLineChars="147"/>
        <w:rPr>
          <w:rFonts w:hint="eastAsia" w:ascii="仿宋_GB2312" w:eastAsia="仿宋_GB2312"/>
          <w:sz w:val="32"/>
          <w:szCs w:val="32"/>
        </w:rPr>
      </w:pP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一、单位收支总体情况表（表1）</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二、单位收入总体情况表（表2）</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三、单位支出总体情况表（表3）</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四、财政拨款收支总体情况表（表4）</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五、一般公共预算支出情况表（表5）</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六、一般公共预算基本支出情况表（表6）</w:t>
      </w:r>
    </w:p>
    <w:p>
      <w:pPr>
        <w:adjustRightInd w:val="0"/>
        <w:snapToGrid w:val="0"/>
        <w:spacing w:line="586" w:lineRule="exact"/>
        <w:ind w:left="632" w:leftChars="231" w:hanging="147" w:hangingChars="46"/>
        <w:rPr>
          <w:rFonts w:ascii="仿宋_GB2312" w:eastAsia="仿宋_GB2312"/>
          <w:b/>
          <w:sz w:val="32"/>
          <w:szCs w:val="32"/>
        </w:rPr>
      </w:pPr>
      <w:r>
        <w:rPr>
          <w:rFonts w:hint="eastAsia" w:ascii="仿宋_GB2312" w:eastAsia="仿宋_GB2312"/>
          <w:sz w:val="32"/>
          <w:szCs w:val="32"/>
        </w:rPr>
        <w:t>七、一般公共预算“三公”经费支出情况表（表7）</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八、政府性基金预算支出情况表（表8）</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九、国有资本经营预算支出表（表9）</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十、政府采购预算表（表10）</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十一、单位预算支出经济分类表（表11）</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十二、政府预算支出经济分类表（表12）</w:t>
      </w:r>
    </w:p>
    <w:p>
      <w:pPr>
        <w:adjustRightInd w:val="0"/>
        <w:snapToGrid w:val="0"/>
        <w:spacing w:line="586" w:lineRule="exact"/>
        <w:ind w:firstLine="470" w:firstLineChars="147"/>
        <w:rPr>
          <w:rFonts w:ascii="仿宋_GB2312" w:eastAsia="仿宋_GB2312"/>
          <w:sz w:val="32"/>
          <w:szCs w:val="32"/>
        </w:rPr>
      </w:pPr>
      <w:r>
        <w:rPr>
          <w:rFonts w:hint="eastAsia" w:ascii="仿宋_GB2312" w:eastAsia="仿宋_GB2312"/>
          <w:sz w:val="32"/>
          <w:szCs w:val="32"/>
        </w:rPr>
        <w:t>十三、项目支出（部门预算）绩效目标申报表（表13）</w:t>
      </w:r>
    </w:p>
    <w:p>
      <w:pPr>
        <w:spacing w:line="586" w:lineRule="exact"/>
        <w:ind w:firstLine="470" w:firstLineChars="147"/>
        <w:rPr>
          <w:rFonts w:ascii="仿宋_GB2312" w:eastAsia="仿宋_GB2312"/>
          <w:sz w:val="32"/>
          <w:szCs w:val="32"/>
        </w:rPr>
      </w:pPr>
      <w:r>
        <w:rPr>
          <w:rFonts w:hint="eastAsia" w:ascii="仿宋_GB2312" w:hAnsi="黑体" w:eastAsia="仿宋_GB2312"/>
          <w:sz w:val="32"/>
          <w:szCs w:val="32"/>
        </w:rPr>
        <w:t>上述报表详见附件。</w:t>
      </w:r>
    </w:p>
    <w:p>
      <w:pPr>
        <w:autoSpaceDE w:val="0"/>
        <w:autoSpaceDN w:val="0"/>
        <w:adjustRightInd w:val="0"/>
        <w:spacing w:line="586" w:lineRule="exact"/>
        <w:ind w:left="-147" w:leftChars="-70" w:firstLine="626" w:firstLineChars="195"/>
        <w:rPr>
          <w:rFonts w:hint="eastAsia" w:ascii="仿宋_GB2312" w:eastAsia="仿宋_GB2312"/>
          <w:b/>
          <w:sz w:val="32"/>
          <w:szCs w:val="32"/>
        </w:rPr>
      </w:pPr>
    </w:p>
    <w:p>
      <w:pPr>
        <w:autoSpaceDE w:val="0"/>
        <w:autoSpaceDN w:val="0"/>
        <w:adjustRightInd w:val="0"/>
        <w:spacing w:line="586" w:lineRule="exact"/>
        <w:ind w:left="-147" w:leftChars="-70" w:firstLine="626" w:firstLineChars="195"/>
        <w:rPr>
          <w:rFonts w:ascii="仿宋_GB2312" w:eastAsia="仿宋_GB2312"/>
          <w:b/>
          <w:sz w:val="32"/>
          <w:szCs w:val="32"/>
        </w:rPr>
      </w:pPr>
      <w:r>
        <w:rPr>
          <w:rFonts w:hint="eastAsia" w:ascii="仿宋_GB2312" w:eastAsia="仿宋_GB2312"/>
          <w:b/>
          <w:sz w:val="32"/>
          <w:szCs w:val="32"/>
        </w:rPr>
        <w:t>附：广西壮族自治区桂林图书馆预算报表（预算公开）.xls</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E5OGQ1MDk3NjM3ZDE3NDMwNjBmZDFkODFlNDg3MDUifQ=="/>
  </w:docVars>
  <w:rsids>
    <w:rsidRoot w:val="004A4C10"/>
    <w:rsid w:val="00032973"/>
    <w:rsid w:val="00046212"/>
    <w:rsid w:val="000867F0"/>
    <w:rsid w:val="00094727"/>
    <w:rsid w:val="000C41D7"/>
    <w:rsid w:val="000E6488"/>
    <w:rsid w:val="000F3146"/>
    <w:rsid w:val="00102B13"/>
    <w:rsid w:val="001217B8"/>
    <w:rsid w:val="00124CF2"/>
    <w:rsid w:val="00125E05"/>
    <w:rsid w:val="001441C3"/>
    <w:rsid w:val="0015458C"/>
    <w:rsid w:val="00161A9A"/>
    <w:rsid w:val="001D6130"/>
    <w:rsid w:val="001E33F8"/>
    <w:rsid w:val="00213829"/>
    <w:rsid w:val="00234564"/>
    <w:rsid w:val="00246BEE"/>
    <w:rsid w:val="0027302C"/>
    <w:rsid w:val="00282233"/>
    <w:rsid w:val="0028225B"/>
    <w:rsid w:val="00285C95"/>
    <w:rsid w:val="00294BE9"/>
    <w:rsid w:val="002B60A8"/>
    <w:rsid w:val="00314301"/>
    <w:rsid w:val="0035014B"/>
    <w:rsid w:val="00366377"/>
    <w:rsid w:val="00382E0D"/>
    <w:rsid w:val="003959A3"/>
    <w:rsid w:val="003A3C7F"/>
    <w:rsid w:val="003B46FE"/>
    <w:rsid w:val="003C1CD6"/>
    <w:rsid w:val="003C2213"/>
    <w:rsid w:val="00433098"/>
    <w:rsid w:val="00463D3A"/>
    <w:rsid w:val="00464BAD"/>
    <w:rsid w:val="00497B7A"/>
    <w:rsid w:val="004A1716"/>
    <w:rsid w:val="004A4C10"/>
    <w:rsid w:val="00504663"/>
    <w:rsid w:val="00553AE0"/>
    <w:rsid w:val="00581373"/>
    <w:rsid w:val="005D16B2"/>
    <w:rsid w:val="00606283"/>
    <w:rsid w:val="00612365"/>
    <w:rsid w:val="00640D76"/>
    <w:rsid w:val="0065500B"/>
    <w:rsid w:val="006654DF"/>
    <w:rsid w:val="00680D9B"/>
    <w:rsid w:val="00696CC1"/>
    <w:rsid w:val="006B6EB6"/>
    <w:rsid w:val="006D1DC4"/>
    <w:rsid w:val="006F410A"/>
    <w:rsid w:val="00716C9A"/>
    <w:rsid w:val="007D54DA"/>
    <w:rsid w:val="008062E6"/>
    <w:rsid w:val="00846A1F"/>
    <w:rsid w:val="00854ED5"/>
    <w:rsid w:val="0085523C"/>
    <w:rsid w:val="0085743E"/>
    <w:rsid w:val="0087290C"/>
    <w:rsid w:val="00874C44"/>
    <w:rsid w:val="00896A3E"/>
    <w:rsid w:val="008C6BCE"/>
    <w:rsid w:val="008D479E"/>
    <w:rsid w:val="008F05DE"/>
    <w:rsid w:val="008F6D83"/>
    <w:rsid w:val="008F789F"/>
    <w:rsid w:val="009042C6"/>
    <w:rsid w:val="00911CBF"/>
    <w:rsid w:val="00914411"/>
    <w:rsid w:val="00920AAD"/>
    <w:rsid w:val="009251F2"/>
    <w:rsid w:val="00945CA1"/>
    <w:rsid w:val="0098587F"/>
    <w:rsid w:val="009A154F"/>
    <w:rsid w:val="009C44D4"/>
    <w:rsid w:val="009F6FA9"/>
    <w:rsid w:val="009F707A"/>
    <w:rsid w:val="009F7306"/>
    <w:rsid w:val="00A332A8"/>
    <w:rsid w:val="00AB4310"/>
    <w:rsid w:val="00AB46D3"/>
    <w:rsid w:val="00AF6EDB"/>
    <w:rsid w:val="00B17C68"/>
    <w:rsid w:val="00B37D54"/>
    <w:rsid w:val="00B45434"/>
    <w:rsid w:val="00B64727"/>
    <w:rsid w:val="00B83BF3"/>
    <w:rsid w:val="00BF4776"/>
    <w:rsid w:val="00C102B0"/>
    <w:rsid w:val="00C104E4"/>
    <w:rsid w:val="00C11729"/>
    <w:rsid w:val="00C23425"/>
    <w:rsid w:val="00C45AFB"/>
    <w:rsid w:val="00C53B3C"/>
    <w:rsid w:val="00C607F0"/>
    <w:rsid w:val="00C60F65"/>
    <w:rsid w:val="00C64921"/>
    <w:rsid w:val="00C86C2F"/>
    <w:rsid w:val="00CA5941"/>
    <w:rsid w:val="00CB4F55"/>
    <w:rsid w:val="00CC7B46"/>
    <w:rsid w:val="00D3464C"/>
    <w:rsid w:val="00D772AD"/>
    <w:rsid w:val="00D86E85"/>
    <w:rsid w:val="00DA5277"/>
    <w:rsid w:val="00DD606F"/>
    <w:rsid w:val="00DE2CDA"/>
    <w:rsid w:val="00E0182D"/>
    <w:rsid w:val="00E02380"/>
    <w:rsid w:val="00E13ACA"/>
    <w:rsid w:val="00E33BD9"/>
    <w:rsid w:val="00E5600E"/>
    <w:rsid w:val="00E57343"/>
    <w:rsid w:val="00E66E64"/>
    <w:rsid w:val="00E829FF"/>
    <w:rsid w:val="00E86CD3"/>
    <w:rsid w:val="00E86D7D"/>
    <w:rsid w:val="00E87F7E"/>
    <w:rsid w:val="00EC728D"/>
    <w:rsid w:val="00EF57D8"/>
    <w:rsid w:val="00F248AC"/>
    <w:rsid w:val="00F26FEC"/>
    <w:rsid w:val="00F45A81"/>
    <w:rsid w:val="00F9353A"/>
    <w:rsid w:val="00F942E0"/>
    <w:rsid w:val="00FA6DC3"/>
    <w:rsid w:val="00FB3CBB"/>
    <w:rsid w:val="1E472A89"/>
    <w:rsid w:val="22CF4A51"/>
    <w:rsid w:val="44B2560A"/>
    <w:rsid w:val="480F0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D21F5-7944-4994-ABD0-792421E383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6652</Words>
  <Characters>7281</Characters>
  <Lines>53</Lines>
  <Paragraphs>15</Paragraphs>
  <TotalTime>383</TotalTime>
  <ScaleCrop>false</ScaleCrop>
  <LinksUpToDate>false</LinksUpToDate>
  <CharactersWithSpaces>7385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2023-02-17T02:12:00Z</dcterms:created>
  <dc:creator>夏候飞</dc:creator>
  <cp:lastModifiedBy>杨树</cp:lastModifiedBy>
  <cp:lastPrinted>2023-02-15T02:37:00Z</cp:lastPrinted>
  <dcterms:modified xsi:type="dcterms:W3CDTF">2023-10-16T03:27:03Z</dcterms:modified>
  <cp:revision>398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FA225E14D33441CE9ED599D120F45A28_12</vt:lpwstr>
  </property>
</Properties>
</file>