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仿宋" w:eastAsia="方正小标宋_GBK"/>
          <w:sz w:val="44"/>
          <w:szCs w:val="44"/>
        </w:rPr>
      </w:pPr>
      <w:r>
        <w:rPr>
          <w:rFonts w:hint="eastAsia" w:ascii="方正小标宋_GBK" w:hAnsi="仿宋" w:eastAsia="方正小标宋_GBK"/>
          <w:sz w:val="44"/>
          <w:szCs w:val="44"/>
        </w:rPr>
        <w:t>桂林市公安局秀峰分局</w:t>
      </w:r>
      <w:r>
        <w:rPr>
          <w:rFonts w:ascii="方正小标宋_GBK" w:hAnsi="仿宋" w:eastAsia="方正小标宋_GBK"/>
          <w:sz w:val="44"/>
          <w:szCs w:val="44"/>
        </w:rPr>
        <w:t>2023年部门预算说明</w:t>
      </w:r>
    </w:p>
    <w:p>
      <w:pPr>
        <w:spacing w:line="600" w:lineRule="exact"/>
        <w:ind w:firstLine="640" w:firstLineChars="200"/>
        <w:jc w:val="center"/>
        <w:rPr>
          <w:rFonts w:hAnsi="黑体" w:eastAsia="黑体"/>
          <w:sz w:val="32"/>
          <w:szCs w:val="32"/>
        </w:rPr>
      </w:pPr>
    </w:p>
    <w:p>
      <w:pPr>
        <w:spacing w:line="600" w:lineRule="exact"/>
        <w:ind w:firstLine="640" w:firstLineChars="200"/>
        <w:jc w:val="center"/>
        <w:rPr>
          <w:rFonts w:eastAsia="黑体"/>
          <w:sz w:val="32"/>
          <w:szCs w:val="32"/>
        </w:rPr>
      </w:pPr>
      <w:r>
        <w:rPr>
          <w:rFonts w:hAnsi="黑体" w:eastAsia="黑体"/>
          <w:sz w:val="32"/>
          <w:szCs w:val="32"/>
        </w:rPr>
        <w:t>第一部分部门概况</w:t>
      </w:r>
    </w:p>
    <w:p>
      <w:pPr>
        <w:spacing w:line="600" w:lineRule="exact"/>
        <w:ind w:firstLine="640" w:firstLineChars="200"/>
        <w:rPr>
          <w:rFonts w:eastAsia="仿宋_GB2312"/>
          <w:sz w:val="32"/>
          <w:szCs w:val="32"/>
        </w:rPr>
      </w:pPr>
      <w:r>
        <w:rPr>
          <w:rFonts w:eastAsia="仿宋_GB2312"/>
          <w:sz w:val="32"/>
          <w:szCs w:val="32"/>
        </w:rPr>
        <w:t>一、主要职能职责</w:t>
      </w:r>
    </w:p>
    <w:p>
      <w:pPr>
        <w:spacing w:line="600" w:lineRule="exact"/>
        <w:ind w:firstLine="640" w:firstLineChars="200"/>
        <w:rPr>
          <w:rFonts w:eastAsia="仿宋_GB2312"/>
          <w:sz w:val="32"/>
          <w:szCs w:val="32"/>
        </w:rPr>
      </w:pPr>
      <w:r>
        <w:rPr>
          <w:rFonts w:eastAsia="仿宋_GB2312"/>
          <w:sz w:val="32"/>
          <w:szCs w:val="32"/>
        </w:rPr>
        <w:t>二、机构设置</w:t>
      </w:r>
    </w:p>
    <w:p>
      <w:pPr>
        <w:spacing w:line="600" w:lineRule="exact"/>
        <w:ind w:firstLine="640" w:firstLineChars="200"/>
        <w:rPr>
          <w:rFonts w:eastAsia="仿宋_GB2312"/>
          <w:sz w:val="32"/>
          <w:szCs w:val="32"/>
        </w:rPr>
      </w:pPr>
      <w:r>
        <w:rPr>
          <w:rFonts w:eastAsia="仿宋_GB2312"/>
          <w:sz w:val="32"/>
          <w:szCs w:val="32"/>
        </w:rPr>
        <w:t>三、编制现状及人员构成</w:t>
      </w:r>
    </w:p>
    <w:p>
      <w:pPr>
        <w:spacing w:line="600" w:lineRule="exact"/>
        <w:ind w:firstLine="640" w:firstLineChars="200"/>
        <w:rPr>
          <w:rFonts w:eastAsia="仿宋_GB2312"/>
          <w:sz w:val="32"/>
          <w:szCs w:val="32"/>
        </w:rPr>
      </w:pPr>
      <w:r>
        <w:rPr>
          <w:rFonts w:eastAsia="仿宋_GB2312"/>
          <w:sz w:val="32"/>
          <w:szCs w:val="32"/>
        </w:rPr>
        <w:t>四、年度主要工作任务</w:t>
      </w:r>
    </w:p>
    <w:p>
      <w:pPr>
        <w:autoSpaceDE w:val="0"/>
        <w:autoSpaceDN w:val="0"/>
        <w:adjustRightInd w:val="0"/>
        <w:spacing w:line="600" w:lineRule="exact"/>
        <w:ind w:firstLine="640" w:firstLineChars="200"/>
        <w:jc w:val="left"/>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年部门预算情况说明</w:t>
      </w:r>
    </w:p>
    <w:p>
      <w:pPr>
        <w:spacing w:line="600" w:lineRule="exact"/>
        <w:ind w:firstLine="640" w:firstLineChars="200"/>
        <w:rPr>
          <w:rFonts w:eastAsia="仿宋_GB2312"/>
          <w:sz w:val="32"/>
          <w:szCs w:val="32"/>
        </w:rPr>
      </w:pPr>
      <w:r>
        <w:rPr>
          <w:rFonts w:eastAsia="仿宋_GB2312"/>
          <w:sz w:val="32"/>
          <w:szCs w:val="32"/>
        </w:rPr>
        <w:t>一、收支预算总体情况</w:t>
      </w:r>
    </w:p>
    <w:p>
      <w:pPr>
        <w:spacing w:line="600" w:lineRule="exact"/>
        <w:ind w:firstLine="640" w:firstLineChars="200"/>
        <w:rPr>
          <w:rFonts w:eastAsia="仿宋_GB2312"/>
          <w:sz w:val="32"/>
          <w:szCs w:val="32"/>
        </w:rPr>
      </w:pPr>
      <w:r>
        <w:rPr>
          <w:rFonts w:eastAsia="仿宋_GB2312"/>
          <w:sz w:val="32"/>
          <w:szCs w:val="32"/>
        </w:rPr>
        <w:t>二、收入预算总体情况</w:t>
      </w:r>
    </w:p>
    <w:p>
      <w:pPr>
        <w:spacing w:line="600" w:lineRule="exact"/>
        <w:ind w:firstLine="640" w:firstLineChars="200"/>
        <w:rPr>
          <w:rFonts w:eastAsia="仿宋_GB2312"/>
          <w:sz w:val="32"/>
          <w:szCs w:val="32"/>
        </w:rPr>
      </w:pPr>
      <w:r>
        <w:rPr>
          <w:rFonts w:eastAsia="仿宋_GB2312"/>
          <w:sz w:val="32"/>
          <w:szCs w:val="32"/>
        </w:rPr>
        <w:t>三、支出预算总体情况</w:t>
      </w:r>
    </w:p>
    <w:p>
      <w:pPr>
        <w:spacing w:line="600" w:lineRule="exact"/>
        <w:ind w:firstLine="640" w:firstLineChars="200"/>
        <w:rPr>
          <w:rFonts w:eastAsia="仿宋_GB2312"/>
          <w:sz w:val="32"/>
          <w:szCs w:val="32"/>
        </w:rPr>
      </w:pPr>
      <w:r>
        <w:rPr>
          <w:rFonts w:eastAsia="仿宋_GB2312"/>
          <w:sz w:val="32"/>
          <w:szCs w:val="32"/>
        </w:rPr>
        <w:t>四、财政拨款收支预算情况说明</w:t>
      </w:r>
    </w:p>
    <w:p>
      <w:pPr>
        <w:spacing w:line="600" w:lineRule="exact"/>
        <w:ind w:firstLine="640" w:firstLineChars="200"/>
        <w:rPr>
          <w:rFonts w:eastAsia="仿宋_GB2312"/>
          <w:sz w:val="32"/>
          <w:szCs w:val="32"/>
        </w:rPr>
      </w:pPr>
      <w:r>
        <w:rPr>
          <w:rFonts w:eastAsia="仿宋_GB2312"/>
          <w:sz w:val="32"/>
          <w:szCs w:val="32"/>
        </w:rPr>
        <w:t>五、一般公共预算支出情况</w:t>
      </w:r>
    </w:p>
    <w:p>
      <w:pPr>
        <w:spacing w:line="600" w:lineRule="exact"/>
        <w:ind w:firstLine="640" w:firstLineChars="200"/>
        <w:rPr>
          <w:rFonts w:eastAsia="仿宋_GB2312"/>
          <w:sz w:val="32"/>
          <w:szCs w:val="32"/>
        </w:rPr>
      </w:pPr>
      <w:r>
        <w:rPr>
          <w:rFonts w:eastAsia="仿宋_GB2312"/>
          <w:sz w:val="32"/>
          <w:szCs w:val="32"/>
        </w:rPr>
        <w:t xml:space="preserve">六、一般公共预算基本支出情况 </w:t>
      </w:r>
    </w:p>
    <w:p>
      <w:pPr>
        <w:spacing w:line="600" w:lineRule="exact"/>
        <w:ind w:firstLine="640" w:firstLineChars="200"/>
        <w:rPr>
          <w:rFonts w:eastAsia="仿宋_GB2312"/>
          <w:sz w:val="32"/>
          <w:szCs w:val="32"/>
        </w:rPr>
      </w:pPr>
      <w:r>
        <w:rPr>
          <w:rFonts w:eastAsia="仿宋_GB2312"/>
          <w:sz w:val="32"/>
          <w:szCs w:val="32"/>
        </w:rPr>
        <w:t>七、一般公共预算“三公”经费情况</w:t>
      </w:r>
    </w:p>
    <w:p>
      <w:pPr>
        <w:spacing w:line="600" w:lineRule="exact"/>
        <w:ind w:firstLine="640" w:firstLineChars="200"/>
        <w:rPr>
          <w:rFonts w:eastAsia="仿宋_GB2312"/>
          <w:sz w:val="32"/>
          <w:szCs w:val="32"/>
        </w:rPr>
      </w:pPr>
      <w:r>
        <w:rPr>
          <w:rFonts w:eastAsia="仿宋_GB2312"/>
          <w:sz w:val="32"/>
          <w:szCs w:val="32"/>
        </w:rPr>
        <w:t xml:space="preserve">八、政府性基金预算情况 </w:t>
      </w:r>
    </w:p>
    <w:p>
      <w:pPr>
        <w:spacing w:line="600" w:lineRule="exact"/>
        <w:ind w:firstLine="640" w:firstLineChars="200"/>
        <w:rPr>
          <w:rFonts w:eastAsia="仿宋_GB2312"/>
          <w:sz w:val="32"/>
          <w:szCs w:val="32"/>
        </w:rPr>
      </w:pPr>
      <w:r>
        <w:rPr>
          <w:rFonts w:eastAsia="仿宋_GB2312"/>
          <w:sz w:val="32"/>
          <w:szCs w:val="32"/>
        </w:rPr>
        <w:t>九、国有资本经营预算情况</w:t>
      </w:r>
    </w:p>
    <w:p>
      <w:pPr>
        <w:spacing w:line="600" w:lineRule="exact"/>
        <w:ind w:firstLine="640" w:firstLineChars="200"/>
        <w:rPr>
          <w:rFonts w:eastAsia="仿宋_GB2312"/>
          <w:sz w:val="32"/>
          <w:szCs w:val="32"/>
        </w:rPr>
      </w:pPr>
      <w:r>
        <w:rPr>
          <w:rFonts w:eastAsia="仿宋_GB2312"/>
          <w:sz w:val="32"/>
          <w:szCs w:val="32"/>
        </w:rPr>
        <w:t>十、其他重要事项情况说明（机关运行经费、政府采购、国有资产等情况说明）</w:t>
      </w:r>
    </w:p>
    <w:p>
      <w:pPr>
        <w:autoSpaceDE w:val="0"/>
        <w:autoSpaceDN w:val="0"/>
        <w:adjustRightInd w:val="0"/>
        <w:spacing w:line="600" w:lineRule="exact"/>
        <w:ind w:firstLine="640" w:firstLineChars="200"/>
        <w:jc w:val="left"/>
        <w:rPr>
          <w:rFonts w:eastAsia="黑体"/>
          <w:sz w:val="32"/>
          <w:szCs w:val="32"/>
        </w:rPr>
      </w:pPr>
      <w:r>
        <w:rPr>
          <w:rFonts w:hAnsi="黑体" w:eastAsia="黑体"/>
          <w:sz w:val="32"/>
          <w:szCs w:val="32"/>
        </w:rPr>
        <w:t>第三部分专业名词解释</w:t>
      </w:r>
    </w:p>
    <w:p>
      <w:pPr>
        <w:autoSpaceDE w:val="0"/>
        <w:autoSpaceDN w:val="0"/>
        <w:adjustRightInd w:val="0"/>
        <w:spacing w:line="600" w:lineRule="exact"/>
        <w:ind w:firstLine="640" w:firstLineChars="200"/>
        <w:jc w:val="left"/>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年部门预算报表</w:t>
      </w:r>
    </w:p>
    <w:p>
      <w:pPr>
        <w:adjustRightInd w:val="0"/>
        <w:snapToGrid w:val="0"/>
        <w:spacing w:line="600" w:lineRule="exact"/>
        <w:ind w:firstLine="640" w:firstLineChars="200"/>
        <w:rPr>
          <w:rFonts w:eastAsia="仿宋_GB2312"/>
          <w:sz w:val="32"/>
          <w:szCs w:val="32"/>
        </w:rPr>
      </w:pPr>
      <w:r>
        <w:rPr>
          <w:rFonts w:eastAsia="仿宋_GB2312"/>
          <w:sz w:val="32"/>
          <w:szCs w:val="32"/>
        </w:rPr>
        <w:t>一、部门收支总体情况表（表1）</w:t>
      </w:r>
    </w:p>
    <w:p>
      <w:pPr>
        <w:adjustRightInd w:val="0"/>
        <w:snapToGrid w:val="0"/>
        <w:spacing w:line="600" w:lineRule="exact"/>
        <w:ind w:firstLine="640" w:firstLineChars="200"/>
        <w:rPr>
          <w:rFonts w:eastAsia="仿宋_GB2312"/>
          <w:sz w:val="32"/>
          <w:szCs w:val="32"/>
        </w:rPr>
      </w:pPr>
      <w:r>
        <w:rPr>
          <w:rFonts w:eastAsia="仿宋_GB2312"/>
          <w:sz w:val="32"/>
          <w:szCs w:val="32"/>
        </w:rPr>
        <w:t>二、部门收入总体情况表（表2）</w:t>
      </w:r>
    </w:p>
    <w:p>
      <w:pPr>
        <w:adjustRightInd w:val="0"/>
        <w:snapToGrid w:val="0"/>
        <w:spacing w:line="600" w:lineRule="exact"/>
        <w:ind w:firstLine="640" w:firstLineChars="200"/>
        <w:rPr>
          <w:rFonts w:eastAsia="仿宋_GB2312"/>
          <w:sz w:val="32"/>
          <w:szCs w:val="32"/>
        </w:rPr>
      </w:pPr>
      <w:r>
        <w:rPr>
          <w:rFonts w:eastAsia="仿宋_GB2312"/>
          <w:sz w:val="32"/>
          <w:szCs w:val="32"/>
        </w:rPr>
        <w:t>三、部门支出总体情况表（表3）</w:t>
      </w:r>
    </w:p>
    <w:p>
      <w:pPr>
        <w:adjustRightInd w:val="0"/>
        <w:snapToGrid w:val="0"/>
        <w:spacing w:line="600" w:lineRule="exact"/>
        <w:ind w:firstLine="640" w:firstLineChars="200"/>
        <w:rPr>
          <w:rFonts w:eastAsia="仿宋_GB2312"/>
          <w:sz w:val="32"/>
          <w:szCs w:val="32"/>
        </w:rPr>
      </w:pPr>
      <w:r>
        <w:rPr>
          <w:rFonts w:eastAsia="仿宋_GB2312"/>
          <w:sz w:val="32"/>
          <w:szCs w:val="32"/>
        </w:rPr>
        <w:t>四、财政拨款收支总体情况表（表4）</w:t>
      </w:r>
    </w:p>
    <w:p>
      <w:pPr>
        <w:adjustRightInd w:val="0"/>
        <w:snapToGrid w:val="0"/>
        <w:spacing w:line="600" w:lineRule="exact"/>
        <w:ind w:firstLine="640" w:firstLineChars="200"/>
        <w:rPr>
          <w:rFonts w:eastAsia="仿宋_GB2312"/>
          <w:sz w:val="32"/>
          <w:szCs w:val="32"/>
        </w:rPr>
      </w:pPr>
      <w:r>
        <w:rPr>
          <w:rFonts w:eastAsia="仿宋_GB2312"/>
          <w:sz w:val="32"/>
          <w:szCs w:val="32"/>
        </w:rPr>
        <w:t>五、一般公共预算支出情况表（表5）</w:t>
      </w:r>
    </w:p>
    <w:p>
      <w:pPr>
        <w:adjustRightInd w:val="0"/>
        <w:snapToGrid w:val="0"/>
        <w:spacing w:line="600" w:lineRule="exact"/>
        <w:ind w:firstLine="640" w:firstLineChars="200"/>
        <w:rPr>
          <w:rFonts w:eastAsia="仿宋_GB2312"/>
          <w:sz w:val="32"/>
          <w:szCs w:val="32"/>
        </w:rPr>
      </w:pPr>
      <w:r>
        <w:rPr>
          <w:rFonts w:eastAsia="仿宋_GB2312"/>
          <w:sz w:val="32"/>
          <w:szCs w:val="32"/>
        </w:rPr>
        <w:t>六、一般公共预算基本支出情况表（表6）</w:t>
      </w:r>
    </w:p>
    <w:p>
      <w:pPr>
        <w:adjustRightInd w:val="0"/>
        <w:snapToGrid w:val="0"/>
        <w:spacing w:line="600" w:lineRule="exact"/>
        <w:ind w:firstLine="640" w:firstLineChars="200"/>
        <w:rPr>
          <w:rFonts w:eastAsia="仿宋_GB2312"/>
          <w:sz w:val="32"/>
          <w:szCs w:val="32"/>
        </w:rPr>
      </w:pPr>
      <w:r>
        <w:rPr>
          <w:rFonts w:eastAsia="仿宋_GB2312"/>
          <w:sz w:val="32"/>
          <w:szCs w:val="32"/>
        </w:rPr>
        <w:t>七、一般公共预算“三公”经费支出情况表（表7）</w:t>
      </w:r>
    </w:p>
    <w:p>
      <w:pPr>
        <w:adjustRightInd w:val="0"/>
        <w:snapToGrid w:val="0"/>
        <w:spacing w:line="600" w:lineRule="exact"/>
        <w:ind w:firstLine="640" w:firstLineChars="200"/>
        <w:rPr>
          <w:rFonts w:eastAsia="仿宋_GB2312"/>
          <w:sz w:val="32"/>
          <w:szCs w:val="32"/>
        </w:rPr>
      </w:pPr>
      <w:r>
        <w:rPr>
          <w:rFonts w:eastAsia="仿宋_GB2312"/>
          <w:sz w:val="32"/>
          <w:szCs w:val="32"/>
        </w:rPr>
        <w:t>八、政府性基金预算支出情况表（表8）</w:t>
      </w:r>
    </w:p>
    <w:p>
      <w:pPr>
        <w:adjustRightInd w:val="0"/>
        <w:snapToGrid w:val="0"/>
        <w:spacing w:line="600" w:lineRule="exact"/>
        <w:ind w:firstLine="640" w:firstLineChars="200"/>
        <w:rPr>
          <w:rFonts w:eastAsia="仿宋_GB2312"/>
          <w:sz w:val="32"/>
          <w:szCs w:val="32"/>
        </w:rPr>
      </w:pPr>
      <w:r>
        <w:rPr>
          <w:rFonts w:eastAsia="仿宋_GB2312"/>
          <w:sz w:val="32"/>
          <w:szCs w:val="32"/>
        </w:rPr>
        <w:t>九、国有资本经营预算支出表（表9）</w:t>
      </w:r>
    </w:p>
    <w:p>
      <w:pPr>
        <w:adjustRightInd w:val="0"/>
        <w:snapToGrid w:val="0"/>
        <w:spacing w:line="600" w:lineRule="exact"/>
        <w:ind w:firstLine="640" w:firstLineChars="200"/>
        <w:rPr>
          <w:rFonts w:eastAsia="仿宋_GB2312"/>
          <w:sz w:val="32"/>
          <w:szCs w:val="32"/>
        </w:rPr>
      </w:pPr>
      <w:r>
        <w:rPr>
          <w:rFonts w:eastAsia="仿宋_GB2312"/>
          <w:sz w:val="32"/>
          <w:szCs w:val="32"/>
        </w:rPr>
        <w:t>十、政府采购预算表（表10）</w:t>
      </w:r>
    </w:p>
    <w:p>
      <w:pPr>
        <w:adjustRightInd w:val="0"/>
        <w:snapToGrid w:val="0"/>
        <w:spacing w:line="600" w:lineRule="exact"/>
        <w:ind w:firstLine="640" w:firstLineChars="200"/>
        <w:rPr>
          <w:rFonts w:eastAsia="仿宋_GB2312"/>
          <w:sz w:val="32"/>
          <w:szCs w:val="32"/>
        </w:rPr>
      </w:pPr>
      <w:r>
        <w:rPr>
          <w:rFonts w:eastAsia="仿宋_GB2312"/>
          <w:sz w:val="32"/>
          <w:szCs w:val="32"/>
        </w:rPr>
        <w:t>十一、部门预算支出经济分类表（表11）</w:t>
      </w:r>
    </w:p>
    <w:p>
      <w:pPr>
        <w:adjustRightInd w:val="0"/>
        <w:snapToGrid w:val="0"/>
        <w:spacing w:line="600" w:lineRule="exact"/>
        <w:ind w:firstLine="640" w:firstLineChars="200"/>
        <w:rPr>
          <w:rFonts w:eastAsia="仿宋_GB2312"/>
          <w:sz w:val="32"/>
          <w:szCs w:val="32"/>
        </w:rPr>
      </w:pPr>
      <w:r>
        <w:rPr>
          <w:rFonts w:eastAsia="仿宋_GB2312"/>
          <w:sz w:val="32"/>
          <w:szCs w:val="32"/>
        </w:rPr>
        <w:t>十二、政府预算支出经济分类表（表12）</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十三、项目支出（部门预算）重点项目绩效目标表（表13）</w:t>
      </w:r>
    </w:p>
    <w:p>
      <w:pPr>
        <w:spacing w:line="600" w:lineRule="exact"/>
        <w:jc w:val="center"/>
        <w:rPr>
          <w:rFonts w:ascii="方正小标宋_GBK" w:hAnsi="仿宋" w:eastAsia="方正小标宋_GBK"/>
          <w:sz w:val="44"/>
          <w:szCs w:val="44"/>
        </w:rPr>
      </w:pPr>
    </w:p>
    <w:p>
      <w:pPr>
        <w:adjustRightInd w:val="0"/>
        <w:snapToGrid w:val="0"/>
        <w:spacing w:line="600" w:lineRule="exact"/>
        <w:ind w:firstLine="640" w:firstLineChars="200"/>
        <w:rPr>
          <w:rFonts w:eastAsia="仿宋_GB2312"/>
          <w:sz w:val="32"/>
          <w:szCs w:val="32"/>
        </w:rPr>
      </w:pPr>
    </w:p>
    <w:p>
      <w:pPr>
        <w:autoSpaceDE w:val="0"/>
        <w:autoSpaceDN w:val="0"/>
        <w:adjustRightInd w:val="0"/>
        <w:spacing w:line="600" w:lineRule="exact"/>
        <w:ind w:firstLine="640" w:firstLineChars="200"/>
        <w:rPr>
          <w:rFonts w:hAnsi="黑体" w:eastAsia="黑体"/>
          <w:sz w:val="32"/>
          <w:szCs w:val="32"/>
        </w:rPr>
      </w:pPr>
    </w:p>
    <w:p>
      <w:pPr>
        <w:autoSpaceDE w:val="0"/>
        <w:autoSpaceDN w:val="0"/>
        <w:adjustRightInd w:val="0"/>
        <w:spacing w:line="600" w:lineRule="exact"/>
        <w:ind w:firstLine="640" w:firstLineChars="200"/>
        <w:rPr>
          <w:rFonts w:hAnsi="黑体" w:eastAsia="黑体"/>
          <w:sz w:val="32"/>
          <w:szCs w:val="32"/>
        </w:rPr>
      </w:pPr>
    </w:p>
    <w:p>
      <w:pPr>
        <w:autoSpaceDE w:val="0"/>
        <w:autoSpaceDN w:val="0"/>
        <w:adjustRightInd w:val="0"/>
        <w:spacing w:line="600" w:lineRule="exact"/>
        <w:ind w:firstLine="640" w:firstLineChars="200"/>
        <w:rPr>
          <w:rFonts w:hAnsi="黑体" w:eastAsia="黑体"/>
          <w:sz w:val="32"/>
          <w:szCs w:val="32"/>
        </w:rPr>
      </w:pPr>
    </w:p>
    <w:p>
      <w:pPr>
        <w:autoSpaceDE w:val="0"/>
        <w:autoSpaceDN w:val="0"/>
        <w:adjustRightInd w:val="0"/>
        <w:spacing w:line="600" w:lineRule="exact"/>
        <w:ind w:firstLine="640" w:firstLineChars="200"/>
        <w:rPr>
          <w:rFonts w:hAnsi="黑体" w:eastAsia="黑体"/>
          <w:sz w:val="32"/>
          <w:szCs w:val="32"/>
        </w:rPr>
      </w:pPr>
    </w:p>
    <w:p>
      <w:pPr>
        <w:autoSpaceDE w:val="0"/>
        <w:autoSpaceDN w:val="0"/>
        <w:adjustRightInd w:val="0"/>
        <w:spacing w:line="600" w:lineRule="exact"/>
        <w:ind w:firstLine="640" w:firstLineChars="200"/>
        <w:rPr>
          <w:rFonts w:hAnsi="黑体" w:eastAsia="黑体"/>
          <w:sz w:val="32"/>
          <w:szCs w:val="32"/>
        </w:rPr>
      </w:pPr>
    </w:p>
    <w:p>
      <w:pPr>
        <w:autoSpaceDE w:val="0"/>
        <w:autoSpaceDN w:val="0"/>
        <w:adjustRightInd w:val="0"/>
        <w:spacing w:line="600" w:lineRule="exact"/>
        <w:ind w:firstLine="640" w:firstLineChars="200"/>
        <w:rPr>
          <w:rFonts w:hAnsi="黑体" w:eastAsia="黑体"/>
          <w:sz w:val="32"/>
          <w:szCs w:val="32"/>
        </w:rPr>
      </w:pPr>
    </w:p>
    <w:p>
      <w:pPr>
        <w:autoSpaceDE w:val="0"/>
        <w:autoSpaceDN w:val="0"/>
        <w:adjustRightInd w:val="0"/>
        <w:spacing w:line="600" w:lineRule="exact"/>
        <w:ind w:firstLine="640" w:firstLineChars="200"/>
        <w:rPr>
          <w:rFonts w:hAnsi="黑体" w:eastAsia="黑体"/>
          <w:sz w:val="32"/>
          <w:szCs w:val="32"/>
        </w:rPr>
      </w:pPr>
    </w:p>
    <w:p>
      <w:pPr>
        <w:autoSpaceDE w:val="0"/>
        <w:autoSpaceDN w:val="0"/>
        <w:adjustRightInd w:val="0"/>
        <w:spacing w:line="600" w:lineRule="exact"/>
        <w:ind w:firstLine="640" w:firstLineChars="200"/>
        <w:rPr>
          <w:rFonts w:hAnsi="黑体" w:eastAsia="黑体"/>
          <w:sz w:val="32"/>
          <w:szCs w:val="32"/>
        </w:rPr>
      </w:pPr>
    </w:p>
    <w:p>
      <w:pPr>
        <w:autoSpaceDE w:val="0"/>
        <w:autoSpaceDN w:val="0"/>
        <w:adjustRightInd w:val="0"/>
        <w:spacing w:line="600" w:lineRule="exact"/>
        <w:ind w:firstLine="640" w:firstLineChars="200"/>
        <w:rPr>
          <w:rFonts w:hAnsi="黑体" w:eastAsia="黑体"/>
          <w:sz w:val="32"/>
          <w:szCs w:val="32"/>
        </w:rPr>
      </w:pPr>
    </w:p>
    <w:p>
      <w:pPr>
        <w:autoSpaceDE w:val="0"/>
        <w:autoSpaceDN w:val="0"/>
        <w:adjustRightInd w:val="0"/>
        <w:spacing w:line="600" w:lineRule="exact"/>
        <w:ind w:firstLine="640" w:firstLineChars="200"/>
        <w:rPr>
          <w:rFonts w:hAnsi="黑体" w:eastAsia="黑体"/>
          <w:sz w:val="32"/>
          <w:szCs w:val="32"/>
        </w:rPr>
      </w:pPr>
    </w:p>
    <w:p>
      <w:pPr>
        <w:autoSpaceDE w:val="0"/>
        <w:autoSpaceDN w:val="0"/>
        <w:adjustRightInd w:val="0"/>
        <w:spacing w:line="600" w:lineRule="exact"/>
        <w:ind w:firstLine="640" w:firstLineChars="200"/>
        <w:rPr>
          <w:rFonts w:eastAsia="黑体"/>
          <w:sz w:val="32"/>
          <w:szCs w:val="32"/>
        </w:rPr>
      </w:pPr>
      <w:r>
        <w:rPr>
          <w:rFonts w:hAnsi="黑体" w:eastAsia="黑体"/>
          <w:sz w:val="32"/>
          <w:szCs w:val="32"/>
        </w:rPr>
        <w:t>第一部分部门概况</w:t>
      </w:r>
    </w:p>
    <w:p>
      <w:pPr>
        <w:spacing w:line="600" w:lineRule="exact"/>
        <w:ind w:firstLine="640" w:firstLineChars="200"/>
        <w:rPr>
          <w:rFonts w:hAnsi="黑体" w:eastAsia="黑体"/>
          <w:sz w:val="32"/>
          <w:szCs w:val="32"/>
        </w:rPr>
      </w:pPr>
      <w:r>
        <w:rPr>
          <w:rFonts w:hAnsi="黑体" w:eastAsia="黑体"/>
          <w:sz w:val="32"/>
          <w:szCs w:val="32"/>
        </w:rPr>
        <w:t>一、主要职能职责</w:t>
      </w:r>
    </w:p>
    <w:p>
      <w:pPr>
        <w:spacing w:line="600" w:lineRule="exact"/>
        <w:ind w:firstLine="640" w:firstLineChars="200"/>
        <w:rPr>
          <w:rFonts w:eastAsia="仿宋_GB2312"/>
          <w:sz w:val="32"/>
          <w:szCs w:val="32"/>
        </w:rPr>
      </w:pPr>
      <w:r>
        <w:rPr>
          <w:rFonts w:hint="eastAsia" w:eastAsia="仿宋_GB2312"/>
          <w:sz w:val="32"/>
          <w:szCs w:val="32"/>
        </w:rPr>
        <w:t>桂林市公安局秀峰分局主要职责：预防、制止和侦察犯罪活动，维护社会治安秩序，制止危害社会治安秩序的行为，对法律、法规规定的特种行业进行管理，管理集会、游行、示威活动，警卫国家特定人员，守卫重要的场所和设施，管理集会、游行、示威活动。</w:t>
      </w:r>
    </w:p>
    <w:p>
      <w:pPr>
        <w:numPr>
          <w:ilvl w:val="0"/>
          <w:numId w:val="1"/>
        </w:numPr>
        <w:spacing w:line="600" w:lineRule="exact"/>
        <w:ind w:firstLine="640" w:firstLineChars="200"/>
        <w:rPr>
          <w:rFonts w:hAnsi="黑体" w:eastAsia="黑体"/>
          <w:sz w:val="32"/>
          <w:szCs w:val="32"/>
        </w:rPr>
      </w:pPr>
      <w:r>
        <w:rPr>
          <w:rFonts w:hAnsi="黑体" w:eastAsia="黑体"/>
          <w:sz w:val="32"/>
          <w:szCs w:val="32"/>
        </w:rPr>
        <w:t>机构设置</w:t>
      </w:r>
    </w:p>
    <w:p>
      <w:pPr>
        <w:spacing w:line="600" w:lineRule="exact"/>
        <w:ind w:firstLine="640" w:firstLineChars="200"/>
      </w:pPr>
      <w:r>
        <w:rPr>
          <w:rFonts w:hint="eastAsia" w:eastAsia="仿宋_GB2312"/>
          <w:sz w:val="32"/>
          <w:szCs w:val="32"/>
        </w:rPr>
        <w:t>桂林市公安局秀峰分局为行政单位，办公技术综合楼位于桂林市秀峰区中隐路10号，设有办公室、人教科、纪检监察室、法制大队、情指大队、网安大队、国保大队、治安管理大队、人口管理大队、经侦大队、禁毒大队、巡逻大队、技侦大队、警察协会、辅警办，辖区内有两个刑侦队及四个派出所。</w:t>
      </w:r>
    </w:p>
    <w:p>
      <w:pPr>
        <w:numPr>
          <w:ilvl w:val="0"/>
          <w:numId w:val="1"/>
        </w:numPr>
        <w:spacing w:line="600" w:lineRule="exact"/>
        <w:ind w:firstLine="640" w:firstLineChars="200"/>
        <w:rPr>
          <w:rFonts w:hAnsi="黑体" w:eastAsia="黑体"/>
          <w:sz w:val="32"/>
          <w:szCs w:val="32"/>
        </w:rPr>
      </w:pPr>
      <w:r>
        <w:rPr>
          <w:rFonts w:hAnsi="黑体" w:eastAsia="黑体"/>
          <w:sz w:val="32"/>
          <w:szCs w:val="32"/>
        </w:rPr>
        <w:t>编制现状及人员构成</w:t>
      </w:r>
    </w:p>
    <w:p>
      <w:pPr>
        <w:pStyle w:val="2"/>
        <w:adjustRightInd w:val="0"/>
        <w:snapToGrid w:val="0"/>
        <w:spacing w:line="600" w:lineRule="exact"/>
        <w:ind w:firstLine="640" w:firstLineChars="200"/>
        <w:rPr>
          <w:rFonts w:hAnsi="黑体" w:eastAsia="黑体"/>
          <w:sz w:val="32"/>
          <w:szCs w:val="32"/>
        </w:rPr>
      </w:pPr>
      <w:r>
        <w:rPr>
          <w:rFonts w:hint="eastAsia" w:ascii="Times New Roman" w:hAnsi="Times New Roman" w:eastAsia="仿宋_GB2312" w:cs="Times New Roman"/>
          <w:sz w:val="32"/>
          <w:szCs w:val="32"/>
        </w:rPr>
        <w:t>桂林市公安局秀峰分局是二级预算单位，共有民警237人，包括在编在职民警231人，后勤行政人员6人，均依照公务员法进行管理。离退休人员93人。</w:t>
      </w:r>
    </w:p>
    <w:p>
      <w:pPr>
        <w:spacing w:line="600" w:lineRule="exact"/>
        <w:ind w:firstLine="640" w:firstLineChars="200"/>
        <w:rPr>
          <w:rFonts w:hAnsi="黑体" w:eastAsia="黑体"/>
          <w:sz w:val="32"/>
          <w:szCs w:val="32"/>
        </w:rPr>
      </w:pPr>
      <w:r>
        <w:rPr>
          <w:rFonts w:hAnsi="黑体" w:eastAsia="黑体"/>
          <w:sz w:val="32"/>
          <w:szCs w:val="32"/>
        </w:rPr>
        <w:t>四、年度主要工作任务</w:t>
      </w:r>
    </w:p>
    <w:p>
      <w:pPr>
        <w:spacing w:line="600" w:lineRule="exact"/>
        <w:ind w:firstLine="640" w:firstLineChars="200"/>
        <w:rPr>
          <w:rFonts w:eastAsia="仿宋_GB2312"/>
          <w:sz w:val="32"/>
          <w:szCs w:val="32"/>
        </w:rPr>
      </w:pPr>
      <w:r>
        <w:rPr>
          <w:rFonts w:hint="eastAsia" w:eastAsia="仿宋_GB2312"/>
          <w:sz w:val="32"/>
          <w:szCs w:val="32"/>
        </w:rPr>
        <w:t>2023年，秀峰分局全体人员以习近平新时代中国特色社会主义思想为指导，全面贯彻党的二十大精神，按照上级政法、公安机关部署要求，牢牢把握对党忠诚、服务人民、执法公正、纪律严明的总要求，增强“四个意识”，坚定“四个自信”，做到“两个维护”，弘扬伟大建党精神，把提高政治判断力、政治领悟力、政治执行力落实到行动上，把党中央的各项决策部署落到实处，全力做好维护国家政治安全和社会稳定各项工作，不断增强人民群众的获得感、幸福感、安全感。</w:t>
      </w:r>
    </w:p>
    <w:p>
      <w:pPr>
        <w:autoSpaceDE w:val="0"/>
        <w:autoSpaceDN w:val="0"/>
        <w:adjustRightInd w:val="0"/>
        <w:spacing w:line="600" w:lineRule="exact"/>
        <w:ind w:firstLine="640" w:firstLineChars="200"/>
        <w:rPr>
          <w:rFonts w:hAnsi="黑体" w:eastAsia="黑体"/>
          <w:sz w:val="32"/>
          <w:szCs w:val="32"/>
        </w:rPr>
      </w:pPr>
      <w:r>
        <w:rPr>
          <w:rFonts w:hAnsi="黑体" w:eastAsia="黑体"/>
          <w:sz w:val="32"/>
          <w:szCs w:val="32"/>
        </w:rPr>
        <w:t>第二部分</w:t>
      </w:r>
      <w:r>
        <w:rPr>
          <w:rFonts w:hint="eastAsia" w:hAnsi="黑体" w:eastAsia="黑体"/>
          <w:sz w:val="32"/>
          <w:szCs w:val="32"/>
        </w:rPr>
        <w:t>桂林市公安局秀峰分局</w:t>
      </w:r>
      <w:r>
        <w:rPr>
          <w:rFonts w:eastAsia="黑体"/>
          <w:sz w:val="32"/>
          <w:szCs w:val="32"/>
        </w:rPr>
        <w:t>202</w:t>
      </w:r>
      <w:r>
        <w:rPr>
          <w:rFonts w:hint="eastAsia" w:eastAsia="黑体"/>
          <w:sz w:val="32"/>
          <w:szCs w:val="32"/>
        </w:rPr>
        <w:t>3</w:t>
      </w:r>
      <w:r>
        <w:rPr>
          <w:rFonts w:hAnsi="黑体" w:eastAsia="黑体"/>
          <w:sz w:val="32"/>
          <w:szCs w:val="32"/>
        </w:rPr>
        <w:t>年部门预算情况说明</w:t>
      </w:r>
    </w:p>
    <w:p>
      <w:pPr>
        <w:autoSpaceDE w:val="0"/>
        <w:autoSpaceDN w:val="0"/>
        <w:adjustRightInd w:val="0"/>
        <w:spacing w:line="600" w:lineRule="exact"/>
        <w:ind w:firstLine="640" w:firstLineChars="200"/>
        <w:rPr>
          <w:rFonts w:eastAsia="黑体"/>
          <w:sz w:val="32"/>
          <w:szCs w:val="32"/>
        </w:rPr>
      </w:pPr>
      <w:r>
        <w:rPr>
          <w:rFonts w:hAnsi="黑体" w:eastAsia="黑体"/>
          <w:sz w:val="32"/>
          <w:szCs w:val="32"/>
        </w:rPr>
        <w:t>一、收支预算总体情况</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2023年收支总预算</w:t>
      </w:r>
      <w:r>
        <w:rPr>
          <w:rFonts w:hint="eastAsia" w:eastAsia="仿宋_GB2312"/>
          <w:sz w:val="32"/>
          <w:szCs w:val="32"/>
        </w:rPr>
        <w:t>7275.38</w:t>
      </w:r>
      <w:r>
        <w:rPr>
          <w:rFonts w:eastAsia="仿宋_GB2312"/>
          <w:sz w:val="32"/>
          <w:szCs w:val="32"/>
        </w:rPr>
        <w:t>万元，同比增加</w:t>
      </w:r>
      <w:r>
        <w:rPr>
          <w:rFonts w:hint="eastAsia" w:eastAsia="仿宋_GB2312"/>
          <w:sz w:val="32"/>
          <w:szCs w:val="32"/>
        </w:rPr>
        <w:t>492.18万元</w:t>
      </w:r>
      <w:r>
        <w:rPr>
          <w:rFonts w:eastAsia="仿宋_GB2312"/>
          <w:sz w:val="32"/>
          <w:szCs w:val="32"/>
        </w:rPr>
        <w:t>，增长</w:t>
      </w:r>
      <w:r>
        <w:rPr>
          <w:rFonts w:hint="eastAsia" w:eastAsia="仿宋_GB2312"/>
          <w:sz w:val="32"/>
          <w:szCs w:val="32"/>
        </w:rPr>
        <w:t>7.3</w:t>
      </w:r>
      <w:r>
        <w:rPr>
          <w:rFonts w:eastAsia="仿宋_GB2312"/>
          <w:sz w:val="32"/>
          <w:szCs w:val="32"/>
        </w:rPr>
        <w:t>%。其中，收入包括：一般公共预算收入、政府性基金收入，支出包括：</w:t>
      </w:r>
      <w:r>
        <w:rPr>
          <w:rFonts w:hint="eastAsia" w:eastAsia="仿宋_GB2312"/>
          <w:sz w:val="32"/>
          <w:szCs w:val="32"/>
        </w:rPr>
        <w:t>公共安全支出、社会保障和就业支出、卫生健康支出、城乡社区支出、住房保障支出</w:t>
      </w:r>
      <w:r>
        <w:rPr>
          <w:rFonts w:eastAsia="仿宋_GB2312"/>
          <w:sz w:val="32"/>
          <w:szCs w:val="32"/>
        </w:rPr>
        <w:t>。</w:t>
      </w:r>
    </w:p>
    <w:p>
      <w:pPr>
        <w:autoSpaceDE w:val="0"/>
        <w:autoSpaceDN w:val="0"/>
        <w:adjustRightInd w:val="0"/>
        <w:spacing w:line="600" w:lineRule="exact"/>
        <w:ind w:firstLine="640" w:firstLineChars="200"/>
        <w:rPr>
          <w:rFonts w:eastAsia="黑体"/>
          <w:sz w:val="32"/>
          <w:szCs w:val="32"/>
        </w:rPr>
      </w:pPr>
      <w:r>
        <w:rPr>
          <w:rFonts w:hAnsi="黑体" w:eastAsia="黑体"/>
          <w:sz w:val="32"/>
          <w:szCs w:val="32"/>
        </w:rPr>
        <w:t>二、收入预算</w:t>
      </w:r>
      <w:r>
        <w:rPr>
          <w:rFonts w:hint="eastAsia" w:hAnsi="黑体" w:eastAsia="黑体"/>
          <w:sz w:val="32"/>
          <w:szCs w:val="32"/>
        </w:rPr>
        <w:t>总体</w:t>
      </w:r>
      <w:r>
        <w:rPr>
          <w:rFonts w:hAnsi="黑体" w:eastAsia="黑体"/>
          <w:sz w:val="32"/>
          <w:szCs w:val="32"/>
        </w:rPr>
        <w:t>说明</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收入预算说明（按资金来源分项说明：收入预算</w:t>
      </w:r>
      <w:r>
        <w:rPr>
          <w:rFonts w:hint="eastAsia" w:eastAsia="仿宋_GB2312"/>
          <w:sz w:val="32"/>
          <w:szCs w:val="32"/>
        </w:rPr>
        <w:t>6785.12万元</w:t>
      </w:r>
      <w:r>
        <w:rPr>
          <w:rFonts w:eastAsia="仿宋_GB2312"/>
          <w:sz w:val="32"/>
          <w:szCs w:val="32"/>
        </w:rPr>
        <w:t>，同比增加</w:t>
      </w:r>
      <w:r>
        <w:rPr>
          <w:rFonts w:hint="eastAsia" w:eastAsia="仿宋_GB2312"/>
          <w:sz w:val="32"/>
          <w:szCs w:val="32"/>
        </w:rPr>
        <w:t>1.92万元</w:t>
      </w:r>
      <w:r>
        <w:rPr>
          <w:rFonts w:eastAsia="仿宋_GB2312"/>
          <w:sz w:val="32"/>
          <w:szCs w:val="32"/>
        </w:rPr>
        <w:t>，增长</w:t>
      </w:r>
      <w:r>
        <w:rPr>
          <w:rFonts w:hint="eastAsia" w:eastAsia="仿宋_GB2312"/>
          <w:sz w:val="32"/>
          <w:szCs w:val="32"/>
        </w:rPr>
        <w:t>0.03</w:t>
      </w:r>
      <w:r>
        <w:rPr>
          <w:rFonts w:eastAsia="仿宋_GB2312"/>
          <w:sz w:val="32"/>
          <w:szCs w:val="32"/>
        </w:rPr>
        <w:t>%。其中，一般公共预算收入</w:t>
      </w:r>
      <w:r>
        <w:rPr>
          <w:rFonts w:hint="eastAsia" w:eastAsia="仿宋_GB2312"/>
          <w:sz w:val="32"/>
          <w:szCs w:val="32"/>
        </w:rPr>
        <w:t>6745万元</w:t>
      </w:r>
      <w:r>
        <w:rPr>
          <w:rFonts w:eastAsia="仿宋_GB2312"/>
          <w:sz w:val="32"/>
          <w:szCs w:val="32"/>
        </w:rPr>
        <w:t>,占总预算</w:t>
      </w:r>
      <w:r>
        <w:rPr>
          <w:rFonts w:hint="eastAsia" w:eastAsia="仿宋_GB2312"/>
          <w:sz w:val="32"/>
          <w:szCs w:val="32"/>
        </w:rPr>
        <w:t>99.4</w:t>
      </w:r>
      <w:r>
        <w:rPr>
          <w:rFonts w:eastAsia="仿宋_GB2312"/>
          <w:sz w:val="32"/>
          <w:szCs w:val="32"/>
        </w:rPr>
        <w:t>%，同比</w:t>
      </w:r>
      <w:r>
        <w:rPr>
          <w:rFonts w:hint="eastAsia" w:eastAsia="仿宋_GB2312"/>
          <w:sz w:val="32"/>
          <w:szCs w:val="32"/>
        </w:rPr>
        <w:t>减少38.2万元</w:t>
      </w:r>
      <w:r>
        <w:rPr>
          <w:rFonts w:eastAsia="仿宋_GB2312"/>
          <w:sz w:val="32"/>
          <w:szCs w:val="32"/>
        </w:rPr>
        <w:t>，</w:t>
      </w:r>
      <w:r>
        <w:rPr>
          <w:rFonts w:hint="eastAsia" w:eastAsia="仿宋_GB2312"/>
          <w:sz w:val="32"/>
          <w:szCs w:val="32"/>
        </w:rPr>
        <w:t>减少0.56</w:t>
      </w:r>
      <w:r>
        <w:rPr>
          <w:rFonts w:eastAsia="仿宋_GB2312"/>
          <w:sz w:val="32"/>
          <w:szCs w:val="32"/>
        </w:rPr>
        <w:t>%</w:t>
      </w:r>
      <w:r>
        <w:rPr>
          <w:rFonts w:hint="eastAsia" w:eastAsia="仿宋_GB2312"/>
          <w:sz w:val="32"/>
          <w:szCs w:val="32"/>
        </w:rPr>
        <w:t>；政府性资金预算40.12万元，同比增加40.12万元，增加100%。上年结转结余490.26万元</w:t>
      </w:r>
      <w:r>
        <w:rPr>
          <w:rFonts w:eastAsia="仿宋_GB2312"/>
          <w:sz w:val="32"/>
          <w:szCs w:val="32"/>
        </w:rPr>
        <w:t>）。收入预算总体增加主要原因：</w:t>
      </w:r>
      <w:r>
        <w:rPr>
          <w:rFonts w:hint="eastAsia" w:eastAsia="仿宋_GB2312"/>
          <w:sz w:val="32"/>
          <w:szCs w:val="32"/>
        </w:rPr>
        <w:t>上年结转结余。</w:t>
      </w:r>
    </w:p>
    <w:p>
      <w:pPr>
        <w:autoSpaceDE w:val="0"/>
        <w:autoSpaceDN w:val="0"/>
        <w:adjustRightInd w:val="0"/>
        <w:spacing w:line="600" w:lineRule="exact"/>
        <w:ind w:firstLine="640" w:firstLineChars="200"/>
        <w:rPr>
          <w:rFonts w:eastAsia="黑体"/>
          <w:sz w:val="32"/>
          <w:szCs w:val="32"/>
        </w:rPr>
      </w:pPr>
      <w:r>
        <w:rPr>
          <w:rFonts w:hAnsi="黑体" w:eastAsia="黑体"/>
          <w:sz w:val="32"/>
          <w:szCs w:val="32"/>
        </w:rPr>
        <w:t>三、支出预算</w:t>
      </w:r>
      <w:r>
        <w:rPr>
          <w:rFonts w:hint="eastAsia" w:hAnsi="黑体" w:eastAsia="黑体"/>
          <w:sz w:val="32"/>
          <w:szCs w:val="32"/>
        </w:rPr>
        <w:t>总体</w:t>
      </w:r>
      <w:r>
        <w:rPr>
          <w:rFonts w:hAnsi="黑体" w:eastAsia="黑体"/>
          <w:sz w:val="32"/>
          <w:szCs w:val="32"/>
        </w:rPr>
        <w:t>说明</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支出预算说明（按资金来源分项说明：</w:t>
      </w:r>
      <w:r>
        <w:rPr>
          <w:rFonts w:hint="eastAsia" w:eastAsia="仿宋_GB2312"/>
          <w:sz w:val="32"/>
          <w:szCs w:val="32"/>
        </w:rPr>
        <w:t>支出预算7275.38</w:t>
      </w:r>
      <w:r>
        <w:rPr>
          <w:rFonts w:eastAsia="仿宋_GB2312"/>
          <w:sz w:val="32"/>
          <w:szCs w:val="32"/>
        </w:rPr>
        <w:t>万元，同比增加</w:t>
      </w:r>
      <w:r>
        <w:rPr>
          <w:rFonts w:hint="eastAsia" w:eastAsia="仿宋_GB2312"/>
          <w:sz w:val="32"/>
          <w:szCs w:val="32"/>
        </w:rPr>
        <w:t>492.18万元</w:t>
      </w:r>
      <w:r>
        <w:rPr>
          <w:rFonts w:eastAsia="仿宋_GB2312"/>
          <w:sz w:val="32"/>
          <w:szCs w:val="32"/>
        </w:rPr>
        <w:t>，增长</w:t>
      </w:r>
      <w:r>
        <w:rPr>
          <w:rFonts w:hint="eastAsia" w:eastAsia="仿宋_GB2312"/>
          <w:sz w:val="32"/>
          <w:szCs w:val="32"/>
        </w:rPr>
        <w:t>7.3</w:t>
      </w:r>
      <w:r>
        <w:rPr>
          <w:rFonts w:eastAsia="仿宋_GB2312"/>
          <w:sz w:val="32"/>
          <w:szCs w:val="32"/>
        </w:rPr>
        <w:t>%。其中，</w:t>
      </w:r>
      <w:r>
        <w:rPr>
          <w:rFonts w:hint="eastAsia" w:eastAsia="仿宋_GB2312"/>
          <w:sz w:val="32"/>
          <w:szCs w:val="32"/>
        </w:rPr>
        <w:t>公共安全</w:t>
      </w:r>
      <w:r>
        <w:rPr>
          <w:rFonts w:eastAsia="仿宋_GB2312"/>
          <w:sz w:val="32"/>
          <w:szCs w:val="32"/>
        </w:rPr>
        <w:t>支出</w:t>
      </w:r>
      <w:r>
        <w:rPr>
          <w:rFonts w:hint="eastAsia" w:eastAsia="仿宋_GB2312"/>
          <w:sz w:val="32"/>
          <w:szCs w:val="32"/>
        </w:rPr>
        <w:t>5358.36万元，</w:t>
      </w:r>
      <w:r>
        <w:rPr>
          <w:rFonts w:eastAsia="仿宋_GB2312"/>
          <w:sz w:val="32"/>
          <w:szCs w:val="32"/>
        </w:rPr>
        <w:t>占总预算</w:t>
      </w:r>
      <w:r>
        <w:rPr>
          <w:rFonts w:hint="eastAsia" w:eastAsia="仿宋_GB2312"/>
          <w:sz w:val="32"/>
          <w:szCs w:val="32"/>
        </w:rPr>
        <w:t>73.65</w:t>
      </w:r>
      <w:r>
        <w:rPr>
          <w:rFonts w:eastAsia="仿宋_GB2312"/>
          <w:sz w:val="32"/>
          <w:szCs w:val="32"/>
        </w:rPr>
        <w:t>%，同比增加</w:t>
      </w:r>
      <w:r>
        <w:rPr>
          <w:rFonts w:hint="eastAsia" w:eastAsia="仿宋_GB2312"/>
          <w:sz w:val="32"/>
          <w:szCs w:val="32"/>
        </w:rPr>
        <w:t>586.5</w:t>
      </w:r>
      <w:r>
        <w:rPr>
          <w:rFonts w:eastAsia="仿宋_GB2312"/>
          <w:sz w:val="32"/>
          <w:szCs w:val="32"/>
        </w:rPr>
        <w:t>，增长</w:t>
      </w:r>
      <w:r>
        <w:rPr>
          <w:rFonts w:hint="eastAsia" w:eastAsia="仿宋_GB2312"/>
          <w:sz w:val="32"/>
          <w:szCs w:val="32"/>
        </w:rPr>
        <w:t>12.29</w:t>
      </w:r>
      <w:r>
        <w:rPr>
          <w:rFonts w:eastAsia="仿宋_GB2312"/>
          <w:sz w:val="32"/>
          <w:szCs w:val="32"/>
        </w:rPr>
        <w:t>%</w:t>
      </w:r>
      <w:r>
        <w:rPr>
          <w:rFonts w:hint="eastAsia" w:eastAsia="仿宋_GB2312"/>
          <w:sz w:val="32"/>
          <w:szCs w:val="32"/>
        </w:rPr>
        <w:t>；社会保障和就业支出941.02万元，同比减少59.81万元，减少5.98%；卫生健康支出521.06万元，同比减少38.68万元，减少6.91%；城乡社区支出40.12万元，同比增加40.12万元，增加100%；住房保障支出449.28万元，减少34.46万元，减少7.67%。</w:t>
      </w:r>
      <w:r>
        <w:rPr>
          <w:rFonts w:eastAsia="仿宋_GB2312"/>
          <w:sz w:val="32"/>
          <w:szCs w:val="32"/>
        </w:rPr>
        <w:t>），支出增长的主要原因与收入增长主要原因相同。</w:t>
      </w:r>
    </w:p>
    <w:p>
      <w:pPr>
        <w:numPr>
          <w:ilvl w:val="0"/>
          <w:numId w:val="2"/>
        </w:numPr>
        <w:autoSpaceDE w:val="0"/>
        <w:autoSpaceDN w:val="0"/>
        <w:adjustRightInd w:val="0"/>
        <w:spacing w:line="600" w:lineRule="exact"/>
        <w:ind w:firstLine="640" w:firstLineChars="200"/>
        <w:rPr>
          <w:rFonts w:eastAsia="仿宋_GB2312"/>
          <w:sz w:val="32"/>
          <w:szCs w:val="32"/>
        </w:rPr>
      </w:pPr>
      <w:r>
        <w:rPr>
          <w:rFonts w:eastAsia="仿宋_GB2312"/>
          <w:sz w:val="32"/>
          <w:szCs w:val="32"/>
        </w:rPr>
        <w:t>按支出功能分类科目划分</w:t>
      </w:r>
    </w:p>
    <w:p>
      <w:pPr>
        <w:numPr>
          <w:ilvl w:val="0"/>
          <w:numId w:val="3"/>
        </w:numPr>
        <w:autoSpaceDE w:val="0"/>
        <w:autoSpaceDN w:val="0"/>
        <w:adjustRightInd w:val="0"/>
        <w:spacing w:line="600" w:lineRule="exact"/>
        <w:ind w:left="0" w:firstLine="640" w:firstLineChars="200"/>
        <w:rPr>
          <w:rFonts w:eastAsia="仿宋_GB2312"/>
          <w:sz w:val="32"/>
          <w:szCs w:val="32"/>
        </w:rPr>
      </w:pPr>
      <w:r>
        <w:rPr>
          <w:rFonts w:hint="eastAsia" w:eastAsia="仿宋_GB2312"/>
          <w:sz w:val="32"/>
          <w:szCs w:val="32"/>
        </w:rPr>
        <w:t>公共安全</w:t>
      </w:r>
      <w:r>
        <w:rPr>
          <w:rFonts w:eastAsia="仿宋_GB2312"/>
          <w:sz w:val="32"/>
          <w:szCs w:val="32"/>
        </w:rPr>
        <w:t>支出</w:t>
      </w:r>
      <w:r>
        <w:rPr>
          <w:rFonts w:hint="eastAsia" w:eastAsia="仿宋_GB2312"/>
          <w:sz w:val="32"/>
          <w:szCs w:val="32"/>
        </w:rPr>
        <w:t>5358.36万元，</w:t>
      </w:r>
      <w:r>
        <w:rPr>
          <w:rFonts w:eastAsia="仿宋_GB2312"/>
          <w:sz w:val="32"/>
          <w:szCs w:val="32"/>
        </w:rPr>
        <w:t>占总预算</w:t>
      </w:r>
      <w:r>
        <w:rPr>
          <w:rFonts w:hint="eastAsia" w:eastAsia="仿宋_GB2312"/>
          <w:sz w:val="32"/>
          <w:szCs w:val="32"/>
        </w:rPr>
        <w:t>73.65</w:t>
      </w:r>
      <w:r>
        <w:rPr>
          <w:rFonts w:eastAsia="仿宋_GB2312"/>
          <w:sz w:val="32"/>
          <w:szCs w:val="32"/>
        </w:rPr>
        <w:t>%，同比增加</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586.5</w:t>
      </w:r>
      <w:r>
        <w:rPr>
          <w:rFonts w:eastAsia="仿宋_GB2312"/>
          <w:sz w:val="32"/>
          <w:szCs w:val="32"/>
        </w:rPr>
        <w:t>，增长</w:t>
      </w:r>
      <w:r>
        <w:rPr>
          <w:rFonts w:hint="eastAsia" w:eastAsia="仿宋_GB2312"/>
          <w:sz w:val="32"/>
          <w:szCs w:val="32"/>
        </w:rPr>
        <w:t>12.29</w:t>
      </w:r>
      <w:r>
        <w:rPr>
          <w:rFonts w:eastAsia="仿宋_GB2312"/>
          <w:sz w:val="32"/>
          <w:szCs w:val="32"/>
        </w:rPr>
        <w:t>%</w:t>
      </w:r>
      <w:r>
        <w:rPr>
          <w:rFonts w:hint="eastAsia" w:eastAsia="仿宋_GB2312"/>
          <w:sz w:val="32"/>
          <w:szCs w:val="32"/>
        </w:rPr>
        <w:t>；</w:t>
      </w:r>
    </w:p>
    <w:p>
      <w:pPr>
        <w:numPr>
          <w:ilvl w:val="0"/>
          <w:numId w:val="3"/>
        </w:numPr>
        <w:autoSpaceDE w:val="0"/>
        <w:autoSpaceDN w:val="0"/>
        <w:adjustRightInd w:val="0"/>
        <w:spacing w:line="600" w:lineRule="exact"/>
        <w:ind w:left="0" w:firstLine="640" w:firstLineChars="200"/>
        <w:rPr>
          <w:rFonts w:eastAsia="仿宋_GB2312"/>
          <w:sz w:val="32"/>
          <w:szCs w:val="32"/>
        </w:rPr>
      </w:pPr>
      <w:r>
        <w:rPr>
          <w:rFonts w:hint="eastAsia" w:eastAsia="仿宋_GB2312"/>
          <w:sz w:val="32"/>
          <w:szCs w:val="32"/>
        </w:rPr>
        <w:t>社会保障和就业支出941.02万元，同比减少59.81万元，</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减少5.98%；</w:t>
      </w:r>
    </w:p>
    <w:p>
      <w:pPr>
        <w:numPr>
          <w:ilvl w:val="0"/>
          <w:numId w:val="3"/>
        </w:numPr>
        <w:autoSpaceDE w:val="0"/>
        <w:autoSpaceDN w:val="0"/>
        <w:adjustRightInd w:val="0"/>
        <w:spacing w:line="600" w:lineRule="exact"/>
        <w:ind w:left="0" w:firstLine="640" w:firstLineChars="200"/>
        <w:rPr>
          <w:rFonts w:eastAsia="仿宋_GB2312"/>
          <w:sz w:val="32"/>
          <w:szCs w:val="32"/>
        </w:rPr>
      </w:pPr>
      <w:r>
        <w:rPr>
          <w:rFonts w:hint="eastAsia" w:eastAsia="仿宋_GB2312"/>
          <w:sz w:val="32"/>
          <w:szCs w:val="32"/>
        </w:rPr>
        <w:t>卫生健康支出521.06万元，同比减少38.68万元，减少</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6.91%；</w:t>
      </w:r>
    </w:p>
    <w:p>
      <w:pPr>
        <w:numPr>
          <w:ilvl w:val="0"/>
          <w:numId w:val="3"/>
        </w:numPr>
        <w:autoSpaceDE w:val="0"/>
        <w:autoSpaceDN w:val="0"/>
        <w:adjustRightInd w:val="0"/>
        <w:spacing w:line="600" w:lineRule="exact"/>
        <w:ind w:left="0" w:firstLine="640" w:firstLineChars="200"/>
        <w:rPr>
          <w:rFonts w:eastAsia="仿宋_GB2312"/>
          <w:sz w:val="32"/>
          <w:szCs w:val="32"/>
        </w:rPr>
      </w:pPr>
      <w:r>
        <w:rPr>
          <w:rFonts w:hint="eastAsia" w:eastAsia="仿宋_GB2312"/>
          <w:sz w:val="32"/>
          <w:szCs w:val="32"/>
        </w:rPr>
        <w:t>城乡社区支出40.12万元，同比增加40.12万元，增加100%；</w:t>
      </w:r>
    </w:p>
    <w:p>
      <w:pPr>
        <w:numPr>
          <w:ilvl w:val="0"/>
          <w:numId w:val="3"/>
        </w:numPr>
        <w:autoSpaceDE w:val="0"/>
        <w:autoSpaceDN w:val="0"/>
        <w:adjustRightInd w:val="0"/>
        <w:spacing w:line="600" w:lineRule="exact"/>
        <w:ind w:left="0" w:firstLine="640" w:firstLineChars="200"/>
        <w:rPr>
          <w:rFonts w:eastAsia="仿宋_GB2312"/>
          <w:sz w:val="32"/>
          <w:szCs w:val="32"/>
        </w:rPr>
      </w:pPr>
      <w:r>
        <w:rPr>
          <w:rFonts w:hint="eastAsia" w:eastAsia="仿宋_GB2312"/>
          <w:sz w:val="32"/>
          <w:szCs w:val="32"/>
        </w:rPr>
        <w:t>住房保障支出449.28万元，减少34.46万元，减少7.67%。</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2、按支出结构划分，分为基本支出预算和项目支出预算。</w:t>
      </w:r>
    </w:p>
    <w:p>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基本支出预算6156.3万元，占支出总预算84.62%，同比减少464.87万元，同比下降7.02%。其中：行政运行4297.62万元，占基本支出预算69.81%，同比减少331.93万元，减少7.17%；行政单位离退休预算93.17万元，占基本支出预算1.51%，同比增加9.12万元，上升10.85%；机关事业单位基本养老保险缴费支出553.09万元，占基本支出预算8.98%，同比减少45.95万元，减少7.67%；机关事业单位职业年金缴费支出276.54万元，占基本支出预算4.49%，同比减少22.98万元，减少7.67%；行政单位医疗支出318.03万元，占基本支出预算5.17%，同比减少26.42万元，减少7.67%；公务员医疗补助支出203.03万元，占基本支出预算3.3%，同比减少12.26万元，减少5.69%；住房公积金支出414.82万元，占基本支出预算6.74%，同比减少34.46万元，减少7.67%。</w:t>
      </w:r>
    </w:p>
    <w:p>
      <w:pPr>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项目支出预算1119.08万元，占总支出预算15.38%，增加957.05万元，同比上升590.66%。其中：行政运行支出116.5万元，占项目支出预算10.41%，同比增长了115.51万元，同比上升11667%；执法办案支出944.24万元，占项目支出预算84.38%，同比增加802.92万元，上升568.16%；残疾人就业支出18.22万元，占项目支出预算1.63%，与去年持平；其他国有土地使用权出让收入安排的支出40.12万元，占项目支出预算的3.58%，同比增加了40.12万元，上升100%。</w:t>
      </w:r>
    </w:p>
    <w:p>
      <w:pPr>
        <w:autoSpaceDE w:val="0"/>
        <w:autoSpaceDN w:val="0"/>
        <w:adjustRightInd w:val="0"/>
        <w:spacing w:line="600" w:lineRule="exact"/>
        <w:ind w:firstLine="640" w:firstLineChars="200"/>
        <w:rPr>
          <w:rFonts w:eastAsia="黑体"/>
          <w:kern w:val="0"/>
          <w:sz w:val="32"/>
          <w:szCs w:val="32"/>
        </w:rPr>
      </w:pPr>
      <w:r>
        <w:rPr>
          <w:rFonts w:hAnsi="黑体" w:eastAsia="黑体"/>
          <w:sz w:val="32"/>
          <w:szCs w:val="32"/>
        </w:rPr>
        <w:t>四、财政拨款收支预算</w:t>
      </w:r>
      <w:r>
        <w:rPr>
          <w:rFonts w:hint="eastAsia" w:hAnsi="黑体" w:eastAsia="黑体"/>
          <w:sz w:val="32"/>
          <w:szCs w:val="32"/>
        </w:rPr>
        <w:t>总体</w:t>
      </w:r>
      <w:r>
        <w:rPr>
          <w:rFonts w:hAnsi="黑体" w:eastAsia="黑体"/>
          <w:sz w:val="32"/>
          <w:szCs w:val="32"/>
        </w:rPr>
        <w:t>情况说明</w:t>
      </w:r>
    </w:p>
    <w:p>
      <w:pPr>
        <w:autoSpaceDE w:val="0"/>
        <w:autoSpaceDN w:val="0"/>
        <w:adjustRightInd w:val="0"/>
        <w:spacing w:line="600" w:lineRule="exact"/>
        <w:ind w:firstLine="640" w:firstLineChars="200"/>
        <w:rPr>
          <w:rFonts w:eastAsia="仿宋_GB2312"/>
          <w:sz w:val="32"/>
          <w:szCs w:val="32"/>
        </w:rPr>
      </w:pPr>
      <w:r>
        <w:rPr>
          <w:rFonts w:eastAsia="仿宋_GB2312"/>
          <w:kern w:val="0"/>
          <w:sz w:val="32"/>
          <w:szCs w:val="32"/>
        </w:rPr>
        <w:t>财政拨款收入预算情况说明</w:t>
      </w:r>
      <w:r>
        <w:rPr>
          <w:rFonts w:hint="eastAsia" w:eastAsia="仿宋_GB2312"/>
          <w:kern w:val="0"/>
          <w:sz w:val="32"/>
          <w:szCs w:val="32"/>
        </w:rPr>
        <w:t>。</w:t>
      </w:r>
      <w:r>
        <w:rPr>
          <w:rFonts w:eastAsia="仿宋_GB2312"/>
          <w:kern w:val="0"/>
          <w:sz w:val="32"/>
          <w:szCs w:val="32"/>
        </w:rPr>
        <w:t>财政拨款收入预算</w:t>
      </w:r>
      <w:r>
        <w:rPr>
          <w:rFonts w:hint="eastAsia" w:eastAsia="仿宋_GB2312"/>
          <w:kern w:val="0"/>
          <w:sz w:val="32"/>
          <w:szCs w:val="32"/>
        </w:rPr>
        <w:t>6785.12万元</w:t>
      </w:r>
      <w:r>
        <w:rPr>
          <w:rFonts w:eastAsia="仿宋_GB2312"/>
          <w:kern w:val="0"/>
          <w:sz w:val="32"/>
          <w:szCs w:val="32"/>
        </w:rPr>
        <w:t>，</w:t>
      </w:r>
      <w:r>
        <w:rPr>
          <w:rFonts w:eastAsia="仿宋_GB2312"/>
          <w:sz w:val="32"/>
          <w:szCs w:val="32"/>
        </w:rPr>
        <w:t>同比增加</w:t>
      </w:r>
      <w:r>
        <w:rPr>
          <w:rFonts w:hint="eastAsia" w:eastAsia="仿宋_GB2312"/>
          <w:sz w:val="32"/>
          <w:szCs w:val="32"/>
        </w:rPr>
        <w:t>1.92万元</w:t>
      </w:r>
      <w:r>
        <w:rPr>
          <w:rFonts w:eastAsia="仿宋_GB2312"/>
          <w:sz w:val="32"/>
          <w:szCs w:val="32"/>
        </w:rPr>
        <w:t>，增长</w:t>
      </w:r>
      <w:r>
        <w:rPr>
          <w:rFonts w:hint="eastAsia" w:eastAsia="仿宋_GB2312"/>
          <w:sz w:val="32"/>
          <w:szCs w:val="32"/>
        </w:rPr>
        <w:t>0.03</w:t>
      </w:r>
      <w:r>
        <w:rPr>
          <w:rFonts w:eastAsia="仿宋_GB2312"/>
          <w:sz w:val="32"/>
          <w:szCs w:val="32"/>
        </w:rPr>
        <w:t>%。其中，其中，一般公共预算收入</w:t>
      </w:r>
      <w:r>
        <w:rPr>
          <w:rFonts w:hint="eastAsia" w:eastAsia="仿宋_GB2312"/>
          <w:sz w:val="32"/>
          <w:szCs w:val="32"/>
        </w:rPr>
        <w:t>6745万元</w:t>
      </w:r>
      <w:r>
        <w:rPr>
          <w:rFonts w:eastAsia="仿宋_GB2312"/>
          <w:sz w:val="32"/>
          <w:szCs w:val="32"/>
        </w:rPr>
        <w:t>,占总预算</w:t>
      </w:r>
      <w:r>
        <w:rPr>
          <w:rFonts w:hint="eastAsia" w:eastAsia="仿宋_GB2312"/>
          <w:sz w:val="32"/>
          <w:szCs w:val="32"/>
        </w:rPr>
        <w:t>99.4</w:t>
      </w:r>
      <w:r>
        <w:rPr>
          <w:rFonts w:eastAsia="仿宋_GB2312"/>
          <w:sz w:val="32"/>
          <w:szCs w:val="32"/>
        </w:rPr>
        <w:t>%，同比</w:t>
      </w:r>
      <w:r>
        <w:rPr>
          <w:rFonts w:hint="eastAsia" w:eastAsia="仿宋_GB2312"/>
          <w:sz w:val="32"/>
          <w:szCs w:val="32"/>
        </w:rPr>
        <w:t>减少38.2万元</w:t>
      </w:r>
      <w:r>
        <w:rPr>
          <w:rFonts w:eastAsia="仿宋_GB2312"/>
          <w:sz w:val="32"/>
          <w:szCs w:val="32"/>
        </w:rPr>
        <w:t>，</w:t>
      </w:r>
      <w:r>
        <w:rPr>
          <w:rFonts w:hint="eastAsia" w:eastAsia="仿宋_GB2312"/>
          <w:sz w:val="32"/>
          <w:szCs w:val="32"/>
        </w:rPr>
        <w:t>减少0.56</w:t>
      </w:r>
      <w:r>
        <w:rPr>
          <w:rFonts w:eastAsia="仿宋_GB2312"/>
          <w:sz w:val="32"/>
          <w:szCs w:val="32"/>
        </w:rPr>
        <w:t>%</w:t>
      </w:r>
      <w:r>
        <w:rPr>
          <w:rFonts w:hint="eastAsia" w:eastAsia="仿宋_GB2312"/>
          <w:sz w:val="32"/>
          <w:szCs w:val="32"/>
        </w:rPr>
        <w:t>；政府性资金预算40.12万元，同比增加40.12万元，增加100%。上年结转结余490.26万元。</w:t>
      </w:r>
    </w:p>
    <w:p>
      <w:pPr>
        <w:autoSpaceDE w:val="0"/>
        <w:autoSpaceDN w:val="0"/>
        <w:adjustRightInd w:val="0"/>
        <w:spacing w:line="600" w:lineRule="exact"/>
        <w:ind w:firstLine="640" w:firstLineChars="200"/>
        <w:rPr>
          <w:rFonts w:eastAsia="仿宋_GB2312"/>
          <w:kern w:val="0"/>
          <w:sz w:val="32"/>
          <w:szCs w:val="32"/>
        </w:rPr>
      </w:pPr>
      <w:r>
        <w:rPr>
          <w:rFonts w:eastAsia="仿宋_GB2312"/>
          <w:sz w:val="32"/>
          <w:szCs w:val="32"/>
        </w:rPr>
        <w:t>财政拨款收入预算增加主要原因：一般公共预算收入增加</w:t>
      </w:r>
      <w:r>
        <w:rPr>
          <w:rFonts w:hint="eastAsia" w:eastAsia="仿宋_GB2312"/>
          <w:sz w:val="32"/>
          <w:szCs w:val="32"/>
        </w:rPr>
        <w:t>是因为今年增加了上级补助预算项目</w:t>
      </w:r>
      <w:r>
        <w:rPr>
          <w:rFonts w:eastAsia="仿宋_GB2312"/>
          <w:sz w:val="32"/>
          <w:szCs w:val="32"/>
        </w:rPr>
        <w:t>，政府性基金预算</w:t>
      </w:r>
      <w:r>
        <w:rPr>
          <w:rFonts w:hint="eastAsia" w:eastAsia="仿宋_GB2312"/>
          <w:sz w:val="32"/>
          <w:szCs w:val="32"/>
        </w:rPr>
        <w:t>增加原因是去年无此预算项目，去年无上年结转结余。</w:t>
      </w:r>
      <w:r>
        <w:rPr>
          <w:rFonts w:eastAsia="仿宋_GB2312"/>
          <w:sz w:val="32"/>
          <w:szCs w:val="32"/>
        </w:rPr>
        <w:t xml:space="preserve">）  </w:t>
      </w:r>
    </w:p>
    <w:p>
      <w:pPr>
        <w:autoSpaceDE w:val="0"/>
        <w:autoSpaceDN w:val="0"/>
        <w:adjustRightInd w:val="0"/>
        <w:spacing w:line="600" w:lineRule="exact"/>
        <w:ind w:firstLine="640" w:firstLineChars="200"/>
        <w:rPr>
          <w:rFonts w:eastAsia="仿宋_GB2312"/>
          <w:sz w:val="32"/>
          <w:szCs w:val="32"/>
        </w:rPr>
      </w:pPr>
      <w:r>
        <w:rPr>
          <w:rFonts w:eastAsia="仿宋_GB2312"/>
          <w:kern w:val="0"/>
          <w:sz w:val="32"/>
          <w:szCs w:val="32"/>
        </w:rPr>
        <w:t>财政拨款支出情况说明</w:t>
      </w:r>
      <w:r>
        <w:rPr>
          <w:rFonts w:hint="eastAsia" w:eastAsia="仿宋_GB2312"/>
          <w:kern w:val="0"/>
          <w:sz w:val="32"/>
          <w:szCs w:val="32"/>
        </w:rPr>
        <w:t>。</w:t>
      </w:r>
      <w:r>
        <w:rPr>
          <w:rFonts w:eastAsia="仿宋_GB2312"/>
          <w:kern w:val="0"/>
          <w:sz w:val="32"/>
          <w:szCs w:val="32"/>
        </w:rPr>
        <w:t>（</w:t>
      </w:r>
      <w:r>
        <w:rPr>
          <w:rFonts w:hint="eastAsia" w:eastAsia="仿宋_GB2312"/>
          <w:sz w:val="32"/>
          <w:szCs w:val="32"/>
        </w:rPr>
        <w:t>支出预算7275.38</w:t>
      </w:r>
      <w:r>
        <w:rPr>
          <w:rFonts w:eastAsia="仿宋_GB2312"/>
          <w:sz w:val="32"/>
          <w:szCs w:val="32"/>
        </w:rPr>
        <w:t>万元，同比增加</w:t>
      </w:r>
      <w:r>
        <w:rPr>
          <w:rFonts w:hint="eastAsia" w:eastAsia="仿宋_GB2312"/>
          <w:sz w:val="32"/>
          <w:szCs w:val="32"/>
        </w:rPr>
        <w:t>492.18万元</w:t>
      </w:r>
      <w:r>
        <w:rPr>
          <w:rFonts w:eastAsia="仿宋_GB2312"/>
          <w:sz w:val="32"/>
          <w:szCs w:val="32"/>
        </w:rPr>
        <w:t>，增长</w:t>
      </w:r>
      <w:r>
        <w:rPr>
          <w:rFonts w:hint="eastAsia" w:eastAsia="仿宋_GB2312"/>
          <w:sz w:val="32"/>
          <w:szCs w:val="32"/>
        </w:rPr>
        <w:t>7.3</w:t>
      </w:r>
      <w:r>
        <w:rPr>
          <w:rFonts w:eastAsia="仿宋_GB2312"/>
          <w:sz w:val="32"/>
          <w:szCs w:val="32"/>
        </w:rPr>
        <w:t>%。其中，</w:t>
      </w:r>
      <w:r>
        <w:rPr>
          <w:rFonts w:hint="eastAsia" w:eastAsia="仿宋_GB2312"/>
          <w:sz w:val="32"/>
          <w:szCs w:val="32"/>
        </w:rPr>
        <w:t>公共安全</w:t>
      </w:r>
      <w:r>
        <w:rPr>
          <w:rFonts w:eastAsia="仿宋_GB2312"/>
          <w:sz w:val="32"/>
          <w:szCs w:val="32"/>
        </w:rPr>
        <w:t>支出</w:t>
      </w:r>
      <w:r>
        <w:rPr>
          <w:rFonts w:hint="eastAsia" w:eastAsia="仿宋_GB2312"/>
          <w:sz w:val="32"/>
          <w:szCs w:val="32"/>
        </w:rPr>
        <w:t>5358.36万元，</w:t>
      </w:r>
      <w:r>
        <w:rPr>
          <w:rFonts w:eastAsia="仿宋_GB2312"/>
          <w:sz w:val="32"/>
          <w:szCs w:val="32"/>
        </w:rPr>
        <w:t>占总预算</w:t>
      </w:r>
      <w:r>
        <w:rPr>
          <w:rFonts w:hint="eastAsia" w:eastAsia="仿宋_GB2312"/>
          <w:sz w:val="32"/>
          <w:szCs w:val="32"/>
        </w:rPr>
        <w:t>73.65</w:t>
      </w:r>
      <w:r>
        <w:rPr>
          <w:rFonts w:eastAsia="仿宋_GB2312"/>
          <w:sz w:val="32"/>
          <w:szCs w:val="32"/>
        </w:rPr>
        <w:t>%，同比增加</w:t>
      </w:r>
      <w:r>
        <w:rPr>
          <w:rFonts w:hint="eastAsia" w:eastAsia="仿宋_GB2312"/>
          <w:sz w:val="32"/>
          <w:szCs w:val="32"/>
        </w:rPr>
        <w:t>586.5</w:t>
      </w:r>
      <w:r>
        <w:rPr>
          <w:rFonts w:eastAsia="仿宋_GB2312"/>
          <w:sz w:val="32"/>
          <w:szCs w:val="32"/>
        </w:rPr>
        <w:t>，增长</w:t>
      </w:r>
      <w:r>
        <w:rPr>
          <w:rFonts w:hint="eastAsia" w:eastAsia="仿宋_GB2312"/>
          <w:sz w:val="32"/>
          <w:szCs w:val="32"/>
        </w:rPr>
        <w:t>12.29</w:t>
      </w:r>
      <w:r>
        <w:rPr>
          <w:rFonts w:eastAsia="仿宋_GB2312"/>
          <w:sz w:val="32"/>
          <w:szCs w:val="32"/>
        </w:rPr>
        <w:t>%</w:t>
      </w:r>
      <w:r>
        <w:rPr>
          <w:rFonts w:hint="eastAsia" w:eastAsia="仿宋_GB2312"/>
          <w:sz w:val="32"/>
          <w:szCs w:val="32"/>
        </w:rPr>
        <w:t>；社会保障和就业支出941.02万元，同比减少59.81万元，减少5.98%；卫生健康支出521.06万元，同比减少38.68万元，减少6.91%；城乡社区支出40.12万元，同比增加40.12万元，增加100%；住房保障支出449.28万元，减少34.46万元，减少7.67%。</w:t>
      </w:r>
      <w:r>
        <w:rPr>
          <w:rFonts w:eastAsia="仿宋_GB2312"/>
          <w:sz w:val="32"/>
          <w:szCs w:val="32"/>
        </w:rPr>
        <w:t>），支出增长的主要原因与收入增长主要原因相同。</w:t>
      </w:r>
    </w:p>
    <w:p>
      <w:pPr>
        <w:autoSpaceDE w:val="0"/>
        <w:autoSpaceDN w:val="0"/>
        <w:adjustRightInd w:val="0"/>
        <w:spacing w:line="600" w:lineRule="exact"/>
        <w:ind w:firstLine="640" w:firstLineChars="200"/>
        <w:rPr>
          <w:rFonts w:eastAsia="黑体"/>
          <w:sz w:val="32"/>
          <w:szCs w:val="32"/>
        </w:rPr>
      </w:pPr>
      <w:r>
        <w:rPr>
          <w:rFonts w:hAnsi="黑体" w:eastAsia="黑体"/>
          <w:sz w:val="32"/>
          <w:szCs w:val="32"/>
        </w:rPr>
        <w:t>五、一般公共预算支出情况说明</w:t>
      </w:r>
    </w:p>
    <w:p>
      <w:pPr>
        <w:autoSpaceDE w:val="0"/>
        <w:autoSpaceDN w:val="0"/>
        <w:adjustRightInd w:val="0"/>
        <w:spacing w:line="600" w:lineRule="exact"/>
        <w:ind w:firstLine="640" w:firstLineChars="200"/>
        <w:rPr>
          <w:rFonts w:eastAsia="楷体_GB2312"/>
          <w:sz w:val="32"/>
          <w:szCs w:val="32"/>
        </w:rPr>
      </w:pPr>
      <w:r>
        <w:rPr>
          <w:rFonts w:eastAsia="楷体_GB2312"/>
          <w:sz w:val="32"/>
          <w:szCs w:val="32"/>
        </w:rPr>
        <w:t>（一）总体情况说明</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2023年支出总预算6745万元，同比减少38万元，同比下降0.32%。</w:t>
      </w:r>
    </w:p>
    <w:p>
      <w:pPr>
        <w:numPr>
          <w:ilvl w:val="0"/>
          <w:numId w:val="4"/>
        </w:numPr>
        <w:autoSpaceDE w:val="0"/>
        <w:autoSpaceDN w:val="0"/>
        <w:adjustRightInd w:val="0"/>
        <w:spacing w:line="600" w:lineRule="exact"/>
        <w:ind w:firstLine="640" w:firstLineChars="200"/>
        <w:rPr>
          <w:rFonts w:eastAsia="仿宋_GB2312"/>
          <w:sz w:val="32"/>
          <w:szCs w:val="32"/>
        </w:rPr>
      </w:pPr>
      <w:r>
        <w:rPr>
          <w:rFonts w:eastAsia="楷体_GB2312"/>
          <w:sz w:val="32"/>
          <w:szCs w:val="32"/>
        </w:rPr>
        <w:t>按支出功能分类科目划分</w:t>
      </w:r>
    </w:p>
    <w:p>
      <w:pPr>
        <w:numPr>
          <w:ilvl w:val="0"/>
          <w:numId w:val="5"/>
        </w:numPr>
        <w:autoSpaceDE w:val="0"/>
        <w:autoSpaceDN w:val="0"/>
        <w:adjustRightInd w:val="0"/>
        <w:spacing w:line="600" w:lineRule="exact"/>
        <w:ind w:left="0" w:firstLine="640" w:firstLineChars="200"/>
        <w:rPr>
          <w:rFonts w:ascii="仿宋" w:hAnsi="仿宋" w:eastAsia="仿宋" w:cs="仿宋"/>
          <w:sz w:val="32"/>
          <w:szCs w:val="32"/>
        </w:rPr>
      </w:pPr>
      <w:r>
        <w:rPr>
          <w:rFonts w:hint="eastAsia" w:ascii="仿宋" w:hAnsi="仿宋" w:eastAsia="仿宋" w:cs="仿宋"/>
          <w:sz w:val="32"/>
          <w:szCs w:val="32"/>
        </w:rPr>
        <w:t>行政运行支出4414.12万元，占支出总预算65.44%，同比减少216.42万元，减少%4.67；</w:t>
      </w:r>
    </w:p>
    <w:p>
      <w:pPr>
        <w:numPr>
          <w:ilvl w:val="0"/>
          <w:numId w:val="5"/>
        </w:numPr>
        <w:autoSpaceDE w:val="0"/>
        <w:autoSpaceDN w:val="0"/>
        <w:adjustRightInd w:val="0"/>
        <w:spacing w:line="600" w:lineRule="exact"/>
        <w:ind w:left="0" w:firstLine="640" w:firstLineChars="200"/>
        <w:rPr>
          <w:rFonts w:ascii="仿宋" w:hAnsi="仿宋" w:eastAsia="仿宋" w:cs="仿宋"/>
          <w:sz w:val="32"/>
          <w:szCs w:val="32"/>
        </w:rPr>
      </w:pPr>
      <w:r>
        <w:rPr>
          <w:rFonts w:hint="eastAsia" w:ascii="仿宋" w:hAnsi="仿宋" w:eastAsia="仿宋" w:cs="仿宋"/>
          <w:sz w:val="32"/>
          <w:szCs w:val="32"/>
        </w:rPr>
        <w:t>执法办案支出453.98万元，占支出总预算6.73%，同比增加312.66万元，增加221.24%；</w:t>
      </w:r>
    </w:p>
    <w:p>
      <w:pPr>
        <w:numPr>
          <w:ilvl w:val="0"/>
          <w:numId w:val="5"/>
        </w:numPr>
        <w:autoSpaceDE w:val="0"/>
        <w:autoSpaceDN w:val="0"/>
        <w:adjustRightInd w:val="0"/>
        <w:spacing w:line="600" w:lineRule="exact"/>
        <w:ind w:left="0" w:firstLine="640" w:firstLineChars="200"/>
        <w:rPr>
          <w:rFonts w:ascii="仿宋" w:hAnsi="仿宋" w:eastAsia="仿宋" w:cs="仿宋"/>
          <w:sz w:val="32"/>
          <w:szCs w:val="32"/>
        </w:rPr>
      </w:pPr>
      <w:r>
        <w:rPr>
          <w:rFonts w:hint="eastAsia" w:ascii="仿宋" w:hAnsi="仿宋" w:eastAsia="仿宋" w:cs="仿宋"/>
          <w:sz w:val="32"/>
          <w:szCs w:val="32"/>
        </w:rPr>
        <w:t>行政单位离退休支出93.17万元，占支出总预算1.38%，同比增加9.12万元，增加10.85</w:t>
      </w:r>
    </w:p>
    <w:p>
      <w:pPr>
        <w:numPr>
          <w:ilvl w:val="0"/>
          <w:numId w:val="5"/>
        </w:numPr>
        <w:autoSpaceDE w:val="0"/>
        <w:autoSpaceDN w:val="0"/>
        <w:adjustRightInd w:val="0"/>
        <w:spacing w:line="600" w:lineRule="exact"/>
        <w:ind w:left="0" w:firstLine="640" w:firstLineChars="200"/>
        <w:rPr>
          <w:rFonts w:ascii="仿宋" w:hAnsi="仿宋" w:eastAsia="仿宋" w:cs="仿宋"/>
          <w:sz w:val="32"/>
          <w:szCs w:val="32"/>
        </w:rPr>
      </w:pPr>
      <w:r>
        <w:rPr>
          <w:rFonts w:hint="eastAsia" w:ascii="仿宋" w:hAnsi="仿宋" w:eastAsia="仿宋" w:cs="仿宋"/>
          <w:sz w:val="32"/>
          <w:szCs w:val="32"/>
        </w:rPr>
        <w:t>机关事业单位基本养老保险缴费支出553.09万元，占支出总预算8.2%，同比减少45.95万元，减少7.67%；</w:t>
      </w:r>
    </w:p>
    <w:p>
      <w:pPr>
        <w:numPr>
          <w:ilvl w:val="0"/>
          <w:numId w:val="5"/>
        </w:numPr>
        <w:autoSpaceDE w:val="0"/>
        <w:autoSpaceDN w:val="0"/>
        <w:adjustRightInd w:val="0"/>
        <w:spacing w:line="600" w:lineRule="exact"/>
        <w:ind w:left="0" w:firstLine="640" w:firstLineChars="200"/>
        <w:rPr>
          <w:rFonts w:ascii="仿宋" w:hAnsi="仿宋" w:eastAsia="仿宋" w:cs="仿宋"/>
          <w:sz w:val="32"/>
          <w:szCs w:val="32"/>
        </w:rPr>
      </w:pPr>
      <w:r>
        <w:rPr>
          <w:rFonts w:hint="eastAsia" w:ascii="仿宋" w:hAnsi="仿宋" w:eastAsia="仿宋" w:cs="仿宋"/>
          <w:sz w:val="32"/>
          <w:szCs w:val="32"/>
        </w:rPr>
        <w:t>机关事业单位职业年金缴费支出276.54万元，占支出总预算4.1%，同比减少22.98万元，减少7.67%</w:t>
      </w:r>
    </w:p>
    <w:p>
      <w:pPr>
        <w:numPr>
          <w:ilvl w:val="0"/>
          <w:numId w:val="5"/>
        </w:numPr>
        <w:autoSpaceDE w:val="0"/>
        <w:autoSpaceDN w:val="0"/>
        <w:adjustRightInd w:val="0"/>
        <w:spacing w:line="600" w:lineRule="exact"/>
        <w:ind w:left="0" w:firstLine="640" w:firstLineChars="200"/>
        <w:rPr>
          <w:rFonts w:ascii="仿宋" w:hAnsi="仿宋" w:eastAsia="仿宋" w:cs="仿宋"/>
          <w:sz w:val="32"/>
          <w:szCs w:val="32"/>
        </w:rPr>
      </w:pPr>
      <w:r>
        <w:rPr>
          <w:rFonts w:hint="eastAsia" w:ascii="仿宋" w:hAnsi="仿宋" w:eastAsia="仿宋" w:cs="仿宋"/>
          <w:sz w:val="32"/>
          <w:szCs w:val="32"/>
        </w:rPr>
        <w:t>残疾人就业支出18.22万元，占支出总预算0.27%，与去年持平；</w:t>
      </w:r>
    </w:p>
    <w:p>
      <w:pPr>
        <w:numPr>
          <w:ilvl w:val="0"/>
          <w:numId w:val="5"/>
        </w:numPr>
        <w:autoSpaceDE w:val="0"/>
        <w:autoSpaceDN w:val="0"/>
        <w:adjustRightInd w:val="0"/>
        <w:spacing w:line="600" w:lineRule="exact"/>
        <w:ind w:left="0" w:firstLine="640" w:firstLineChars="200"/>
        <w:rPr>
          <w:rFonts w:ascii="仿宋" w:hAnsi="仿宋" w:eastAsia="仿宋" w:cs="仿宋"/>
          <w:sz w:val="32"/>
          <w:szCs w:val="32"/>
        </w:rPr>
      </w:pPr>
      <w:r>
        <w:rPr>
          <w:rFonts w:hint="eastAsia" w:ascii="仿宋" w:hAnsi="仿宋" w:eastAsia="仿宋" w:cs="仿宋"/>
          <w:sz w:val="32"/>
          <w:szCs w:val="32"/>
        </w:rPr>
        <w:t>行政单位医疗支出318.03万元，占支出总预算4.72%。同比减少26.42万元，减少7.67%；</w:t>
      </w:r>
    </w:p>
    <w:p>
      <w:pPr>
        <w:numPr>
          <w:ilvl w:val="0"/>
          <w:numId w:val="5"/>
        </w:numPr>
        <w:autoSpaceDE w:val="0"/>
        <w:autoSpaceDN w:val="0"/>
        <w:adjustRightInd w:val="0"/>
        <w:spacing w:line="600" w:lineRule="exact"/>
        <w:ind w:left="0" w:firstLine="640" w:firstLineChars="200"/>
        <w:rPr>
          <w:rFonts w:ascii="仿宋" w:hAnsi="仿宋" w:eastAsia="仿宋" w:cs="仿宋"/>
          <w:sz w:val="32"/>
          <w:szCs w:val="32"/>
        </w:rPr>
      </w:pPr>
      <w:r>
        <w:rPr>
          <w:rFonts w:hint="eastAsia" w:ascii="仿宋" w:hAnsi="仿宋" w:eastAsia="仿宋" w:cs="仿宋"/>
          <w:sz w:val="32"/>
          <w:szCs w:val="32"/>
        </w:rPr>
        <w:t>公务员医疗补助203.03万元，占支出总预算3.01%，同比减少12.26万元，减少5.69%；</w:t>
      </w:r>
    </w:p>
    <w:p>
      <w:pPr>
        <w:numPr>
          <w:ilvl w:val="0"/>
          <w:numId w:val="5"/>
        </w:numPr>
        <w:autoSpaceDE w:val="0"/>
        <w:autoSpaceDN w:val="0"/>
        <w:adjustRightInd w:val="0"/>
        <w:spacing w:line="600" w:lineRule="exact"/>
        <w:ind w:left="0" w:firstLine="640" w:firstLineChars="200"/>
        <w:rPr>
          <w:rFonts w:ascii="仿宋" w:hAnsi="仿宋" w:eastAsia="仿宋" w:cs="仿宋"/>
          <w:sz w:val="32"/>
          <w:szCs w:val="32"/>
        </w:rPr>
      </w:pPr>
      <w:r>
        <w:rPr>
          <w:rFonts w:hint="eastAsia" w:ascii="仿宋" w:hAnsi="仿宋" w:eastAsia="仿宋" w:cs="仿宋"/>
          <w:sz w:val="32"/>
          <w:szCs w:val="32"/>
        </w:rPr>
        <w:t>住房公积金414.82万元，占支出总预算6.15%，同比减少34.46万元，减少7.67%。</w:t>
      </w:r>
    </w:p>
    <w:p>
      <w:pPr>
        <w:autoSpaceDE w:val="0"/>
        <w:autoSpaceDN w:val="0"/>
        <w:adjustRightInd w:val="0"/>
        <w:spacing w:line="600" w:lineRule="exact"/>
        <w:ind w:firstLine="640" w:firstLineChars="200"/>
        <w:rPr>
          <w:rFonts w:eastAsia="楷体_GB2312"/>
          <w:sz w:val="32"/>
          <w:szCs w:val="32"/>
        </w:rPr>
      </w:pPr>
      <w:r>
        <w:rPr>
          <w:rFonts w:eastAsia="楷体_GB2312"/>
          <w:sz w:val="32"/>
          <w:szCs w:val="32"/>
        </w:rPr>
        <w:t>（三）按支出结构划分，分为基本支出预算和项目支出预算。</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1、基本支出预算</w:t>
      </w:r>
      <w:r>
        <w:rPr>
          <w:rFonts w:hint="eastAsia" w:eastAsia="仿宋_GB2312"/>
          <w:sz w:val="32"/>
          <w:szCs w:val="32"/>
        </w:rPr>
        <w:t>6156.3万元，占支出总预算91.27%，同比下降464.87万元，同比下降7.02%。其中：行政运行4297.62万元，占基本支出预算69.81%，同比减少331.93万元，减少7.17%；行政单位离退休预算93.17万元，占基本支出预算1.51%，同比增加9.12万元，上升10.85%；机关事业单位基本养老保险缴费支出553.09万元，占基本支出预算8.98%，同比减少45.95万元，减少7.67%；机关事业单位职业年金缴费支出276.54万元，占基本支出预算4.49%，同比减少22.98万元，减少7.67%；行政单位医疗支出318.03万元，占基本支出预算5.17%，同比减少26.42万元，减少7.67%；公务员医疗补助支出203.03万元，占基本支出预算3.3%，同比减少12.26万元，减少5.69%；住房公积金支出414.82万元，占基本支出预算6.74%，同比减少34.46万元，减少7.67%。</w:t>
      </w:r>
    </w:p>
    <w:p>
      <w:pPr>
        <w:spacing w:line="600" w:lineRule="exact"/>
        <w:ind w:firstLine="640" w:firstLineChars="200"/>
        <w:rPr>
          <w:rFonts w:eastAsia="仿宋_GB2312"/>
          <w:sz w:val="32"/>
          <w:szCs w:val="32"/>
        </w:rPr>
      </w:pPr>
      <w:r>
        <w:rPr>
          <w:rFonts w:eastAsia="仿宋_GB2312"/>
          <w:sz w:val="32"/>
          <w:szCs w:val="32"/>
        </w:rPr>
        <w:t>2、项目支出预算</w:t>
      </w:r>
      <w:r>
        <w:rPr>
          <w:rFonts w:hint="eastAsia" w:eastAsia="仿宋_GB2312"/>
          <w:sz w:val="32"/>
          <w:szCs w:val="32"/>
        </w:rPr>
        <w:t>588.7万元，占支出总预算8.73%，同比增加426.67万元，增加263.33%。其中：行政运行支出116.5万元，占项目支出预算19.79%，同比增长了115.51万元，同比上升11667%；执法办案支出453.98万元，占项目支出预算77.12%，同比增加312.66万元，上升221.24%；残疾人就业支出18.22万元，占项目支出预算3.09%，与去年持平。</w:t>
      </w:r>
    </w:p>
    <w:p>
      <w:pPr>
        <w:autoSpaceDE w:val="0"/>
        <w:autoSpaceDN w:val="0"/>
        <w:adjustRightInd w:val="0"/>
        <w:spacing w:line="600" w:lineRule="exact"/>
        <w:ind w:firstLine="640" w:firstLineChars="200"/>
        <w:rPr>
          <w:rFonts w:eastAsia="黑体"/>
          <w:sz w:val="32"/>
          <w:szCs w:val="32"/>
        </w:rPr>
      </w:pPr>
      <w:r>
        <w:rPr>
          <w:rFonts w:hAnsi="黑体" w:eastAsia="黑体"/>
          <w:sz w:val="32"/>
          <w:szCs w:val="32"/>
        </w:rPr>
        <w:t>六、一般公共预算基本支出情况说明</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2023年一般公共预算基本支出</w:t>
      </w:r>
      <w:r>
        <w:rPr>
          <w:rFonts w:hint="eastAsia" w:eastAsia="仿宋_GB2312"/>
          <w:sz w:val="32"/>
          <w:szCs w:val="32"/>
        </w:rPr>
        <w:t>6156.3</w:t>
      </w:r>
      <w:r>
        <w:rPr>
          <w:rFonts w:eastAsia="仿宋_GB2312"/>
          <w:sz w:val="32"/>
          <w:szCs w:val="32"/>
        </w:rPr>
        <w:t>万元，其中：人员经费</w:t>
      </w:r>
      <w:r>
        <w:rPr>
          <w:rFonts w:hint="eastAsia" w:eastAsia="仿宋_GB2312"/>
          <w:sz w:val="32"/>
          <w:szCs w:val="32"/>
        </w:rPr>
        <w:t>5356.04</w:t>
      </w:r>
      <w:r>
        <w:rPr>
          <w:rFonts w:eastAsia="仿宋_GB2312"/>
          <w:sz w:val="32"/>
          <w:szCs w:val="32"/>
        </w:rPr>
        <w:t xml:space="preserve">万元，主要包括：基本工资、津贴补贴、奖金、绩效工资、基本养老保险缴费、基本医疗保险缴费、其他社会保障缴费、职业年金缴费、住房公积金、离休费、退休费、其他对个人和家庭的补助支出。 </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 xml:space="preserve"> 公用经费</w:t>
      </w:r>
      <w:r>
        <w:rPr>
          <w:rFonts w:hint="eastAsia" w:eastAsia="仿宋_GB2312"/>
          <w:sz w:val="32"/>
          <w:szCs w:val="32"/>
        </w:rPr>
        <w:t>800.25</w:t>
      </w:r>
      <w:r>
        <w:rPr>
          <w:rFonts w:eastAsia="仿宋_GB2312"/>
          <w:sz w:val="32"/>
          <w:szCs w:val="32"/>
        </w:rPr>
        <w:t>万元，主要包括：伙食补助、办公费、印刷费、水费、电费、邮电费、差旅费、维修（护）费、会议费、培训费、公务接待费、劳务费、工会经费、福利费、公务用车运行维护费、其他交通费用、其他商品和服务支出。</w:t>
      </w:r>
    </w:p>
    <w:p>
      <w:pPr>
        <w:autoSpaceDE w:val="0"/>
        <w:autoSpaceDN w:val="0"/>
        <w:adjustRightInd w:val="0"/>
        <w:spacing w:line="600" w:lineRule="exact"/>
        <w:ind w:firstLine="640" w:firstLineChars="200"/>
        <w:rPr>
          <w:rFonts w:eastAsia="黑体"/>
          <w:sz w:val="32"/>
          <w:szCs w:val="32"/>
        </w:rPr>
      </w:pPr>
      <w:r>
        <w:rPr>
          <w:rFonts w:hAnsi="黑体" w:eastAsia="黑体"/>
          <w:sz w:val="32"/>
          <w:szCs w:val="32"/>
        </w:rPr>
        <w:t>七、一般公共预算</w:t>
      </w:r>
      <w:r>
        <w:rPr>
          <w:rFonts w:eastAsia="黑体"/>
          <w:sz w:val="32"/>
          <w:szCs w:val="32"/>
        </w:rPr>
        <w:t>“</w:t>
      </w:r>
      <w:r>
        <w:rPr>
          <w:rFonts w:hAnsi="黑体" w:eastAsia="黑体"/>
          <w:sz w:val="32"/>
          <w:szCs w:val="32"/>
        </w:rPr>
        <w:t>三公</w:t>
      </w:r>
      <w:r>
        <w:rPr>
          <w:rFonts w:eastAsia="黑体"/>
          <w:sz w:val="32"/>
          <w:szCs w:val="32"/>
        </w:rPr>
        <w:t>”</w:t>
      </w:r>
      <w:r>
        <w:rPr>
          <w:rFonts w:hAnsi="黑体" w:eastAsia="黑体"/>
          <w:sz w:val="32"/>
          <w:szCs w:val="32"/>
        </w:rPr>
        <w:t>经费、会议和培训费说明</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2023年全口径预算安排的“三公”经费、会议费、培训费支出133.97万元，比上年减少2.38万元，同比减少1.75%。</w:t>
      </w:r>
    </w:p>
    <w:p>
      <w:pPr>
        <w:numPr>
          <w:ilvl w:val="0"/>
          <w:numId w:val="6"/>
        </w:num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因公出国经费2023年无安排金额。</w:t>
      </w:r>
    </w:p>
    <w:p>
      <w:pPr>
        <w:numPr>
          <w:ilvl w:val="0"/>
          <w:numId w:val="6"/>
        </w:num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公务接待经费2023年安排金额6.75万元，比上年减少0.63万元，同比减少8.53%。</w:t>
      </w:r>
    </w:p>
    <w:p>
      <w:pPr>
        <w:autoSpaceDE w:val="0"/>
        <w:autoSpaceDN w:val="0"/>
        <w:adjustRightInd w:val="0"/>
        <w:spacing w:line="600" w:lineRule="exact"/>
        <w:ind w:firstLine="640" w:firstLineChars="200"/>
        <w:rPr>
          <w:rFonts w:eastAsia="仿宋_GB2312"/>
          <w:color w:val="FF0000"/>
          <w:sz w:val="32"/>
          <w:szCs w:val="32"/>
        </w:rPr>
      </w:pPr>
      <w:r>
        <w:rPr>
          <w:rFonts w:hint="eastAsia" w:eastAsia="仿宋_GB2312"/>
          <w:sz w:val="32"/>
          <w:szCs w:val="32"/>
        </w:rPr>
        <w:t>3、</w:t>
      </w:r>
      <w:r>
        <w:rPr>
          <w:rFonts w:eastAsia="仿宋_GB2312"/>
          <w:sz w:val="32"/>
          <w:szCs w:val="32"/>
        </w:rPr>
        <w:t>公务用车购置费</w:t>
      </w:r>
      <w:r>
        <w:rPr>
          <w:rFonts w:hint="eastAsia" w:eastAsia="仿宋_GB2312"/>
          <w:sz w:val="32"/>
          <w:szCs w:val="32"/>
        </w:rPr>
        <w:t>0万元</w:t>
      </w:r>
      <w:r>
        <w:rPr>
          <w:rFonts w:eastAsia="仿宋_GB2312"/>
          <w:sz w:val="32"/>
          <w:szCs w:val="32"/>
        </w:rPr>
        <w:t>和公务用车运行费</w:t>
      </w:r>
      <w:r>
        <w:rPr>
          <w:rFonts w:hint="eastAsia" w:eastAsia="仿宋_GB2312"/>
          <w:sz w:val="32"/>
          <w:szCs w:val="32"/>
        </w:rPr>
        <w:t>108.3万元</w:t>
      </w:r>
      <w:r>
        <w:rPr>
          <w:rFonts w:eastAsia="仿宋_GB2312"/>
          <w:sz w:val="32"/>
          <w:szCs w:val="32"/>
        </w:rPr>
        <w:t>，</w:t>
      </w:r>
      <w:r>
        <w:rPr>
          <w:rFonts w:hint="eastAsia" w:eastAsia="仿宋_GB2312"/>
          <w:sz w:val="32"/>
          <w:szCs w:val="32"/>
        </w:rPr>
        <w:t>与去年一致</w:t>
      </w:r>
      <w:r>
        <w:rPr>
          <w:rFonts w:eastAsia="仿宋_GB2312"/>
          <w:sz w:val="32"/>
          <w:szCs w:val="32"/>
        </w:rPr>
        <w:t>。</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会议费应</w:t>
      </w:r>
      <w:r>
        <w:rPr>
          <w:rFonts w:hint="eastAsia" w:eastAsia="仿宋_GB2312"/>
          <w:sz w:val="32"/>
          <w:szCs w:val="32"/>
        </w:rPr>
        <w:t>9.46万元，比上年减少0.87万元，同比减少8.42%。</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培训费</w:t>
      </w:r>
      <w:r>
        <w:rPr>
          <w:rFonts w:hint="eastAsia" w:eastAsia="仿宋_GB2312"/>
          <w:sz w:val="32"/>
          <w:szCs w:val="32"/>
        </w:rPr>
        <w:t>9.46万元，比上年减少0.87万元，同比减少8.42%</w:t>
      </w:r>
      <w:r>
        <w:rPr>
          <w:rFonts w:eastAsia="仿宋_GB2312"/>
          <w:sz w:val="32"/>
          <w:szCs w:val="32"/>
        </w:rPr>
        <w:t>。</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以上减少原因主要是贯彻落实</w:t>
      </w:r>
      <w:r>
        <w:rPr>
          <w:rFonts w:hint="eastAsia" w:eastAsia="仿宋_GB2312"/>
          <w:sz w:val="32"/>
          <w:szCs w:val="32"/>
          <w:lang w:val="en-US" w:eastAsia="zh-CN"/>
        </w:rPr>
        <w:t>厉</w:t>
      </w:r>
      <w:r>
        <w:rPr>
          <w:rFonts w:hint="eastAsia" w:eastAsia="仿宋_GB2312"/>
          <w:sz w:val="32"/>
          <w:szCs w:val="32"/>
        </w:rPr>
        <w:t>行节约，结合工作实际减少各项开支。</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关于会议和培训明细，由于此项工作涉及公安工作中不便公开事项，因此不作具体说明。</w:t>
      </w:r>
    </w:p>
    <w:p>
      <w:pPr>
        <w:autoSpaceDE w:val="0"/>
        <w:autoSpaceDN w:val="0"/>
        <w:adjustRightInd w:val="0"/>
        <w:spacing w:line="600" w:lineRule="exact"/>
        <w:ind w:firstLine="640" w:firstLineChars="200"/>
        <w:rPr>
          <w:rFonts w:eastAsia="仿宋_GB2312"/>
          <w:sz w:val="32"/>
          <w:szCs w:val="32"/>
        </w:rPr>
      </w:pPr>
      <w:r>
        <w:rPr>
          <w:rFonts w:hAnsi="黑体" w:eastAsia="黑体"/>
          <w:sz w:val="32"/>
          <w:szCs w:val="32"/>
        </w:rPr>
        <w:t>八、政府性基金预算情况说明</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 xml:space="preserve"> 2023年部门预算无政府性基金预算40.12万元，比去年增加40.12万元，同比增长100%。</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按支出功能分类科目划分，其他国有土地使用权出让收入安排的支出40.12万元</w:t>
      </w:r>
    </w:p>
    <w:p>
      <w:pPr>
        <w:autoSpaceDE w:val="0"/>
        <w:autoSpaceDN w:val="0"/>
        <w:adjustRightInd w:val="0"/>
        <w:spacing w:line="600" w:lineRule="exact"/>
        <w:ind w:firstLine="640" w:firstLineChars="200"/>
        <w:rPr>
          <w:rFonts w:eastAsia="仿宋_GB2312"/>
          <w:sz w:val="32"/>
          <w:szCs w:val="32"/>
        </w:rPr>
      </w:pPr>
      <w:r>
        <w:rPr>
          <w:rFonts w:hAnsi="黑体" w:eastAsia="黑体"/>
          <w:sz w:val="32"/>
          <w:szCs w:val="32"/>
        </w:rPr>
        <w:t>九、国有资本经营预算情况说明</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我单位2023年部门预算无国有资本经营预算。</w:t>
      </w:r>
    </w:p>
    <w:p>
      <w:pPr>
        <w:numPr>
          <w:ilvl w:val="0"/>
          <w:numId w:val="7"/>
        </w:numPr>
        <w:autoSpaceDE w:val="0"/>
        <w:autoSpaceDN w:val="0"/>
        <w:adjustRightInd w:val="0"/>
        <w:spacing w:line="600" w:lineRule="exact"/>
        <w:ind w:firstLine="640" w:firstLineChars="200"/>
        <w:rPr>
          <w:rFonts w:hAnsi="黑体" w:eastAsia="黑体"/>
          <w:sz w:val="32"/>
          <w:szCs w:val="32"/>
        </w:rPr>
      </w:pPr>
      <w:r>
        <w:rPr>
          <w:rFonts w:hAnsi="黑体" w:eastAsia="黑体"/>
          <w:sz w:val="32"/>
          <w:szCs w:val="32"/>
        </w:rPr>
        <w:t>其他重要事项情况说明</w:t>
      </w:r>
    </w:p>
    <w:p>
      <w:pPr>
        <w:autoSpaceDE w:val="0"/>
        <w:autoSpaceDN w:val="0"/>
        <w:adjustRightInd w:val="0"/>
        <w:spacing w:line="600" w:lineRule="exact"/>
        <w:ind w:firstLine="640" w:firstLineChars="200"/>
        <w:rPr>
          <w:rFonts w:eastAsia="仿宋_GB2312"/>
          <w:sz w:val="32"/>
          <w:szCs w:val="32"/>
        </w:rPr>
      </w:pPr>
      <w:r>
        <w:rPr>
          <w:rFonts w:eastAsia="楷体_GB2312"/>
          <w:sz w:val="32"/>
          <w:szCs w:val="32"/>
        </w:rPr>
        <w:t>（一）机关运行经费情况说明</w:t>
      </w:r>
    </w:p>
    <w:p>
      <w:pPr>
        <w:pStyle w:val="5"/>
        <w:widowControl/>
        <w:shd w:val="clear" w:color="auto" w:fill="FFFFFF"/>
        <w:spacing w:beforeAutospacing="0" w:afterAutospacing="0" w:line="600" w:lineRule="exact"/>
        <w:ind w:firstLine="640" w:firstLineChars="200"/>
        <w:rPr>
          <w:rFonts w:eastAsia="仿宋_GB2312"/>
          <w:sz w:val="32"/>
          <w:szCs w:val="32"/>
        </w:rPr>
      </w:pPr>
      <w:r>
        <w:rPr>
          <w:rFonts w:eastAsia="仿宋_GB2312"/>
          <w:sz w:val="32"/>
          <w:szCs w:val="32"/>
        </w:rPr>
        <w:t xml:space="preserve">  2023年收支总预算</w:t>
      </w:r>
      <w:r>
        <w:rPr>
          <w:rFonts w:hint="eastAsia" w:eastAsia="仿宋_GB2312"/>
          <w:sz w:val="32"/>
          <w:szCs w:val="32"/>
        </w:rPr>
        <w:t>7275.38</w:t>
      </w:r>
      <w:r>
        <w:rPr>
          <w:rFonts w:eastAsia="仿宋_GB2312"/>
          <w:sz w:val="32"/>
          <w:szCs w:val="32"/>
        </w:rPr>
        <w:t>万元，同比增加</w:t>
      </w:r>
      <w:r>
        <w:rPr>
          <w:rFonts w:hint="eastAsia" w:eastAsia="仿宋_GB2312"/>
          <w:sz w:val="32"/>
          <w:szCs w:val="32"/>
        </w:rPr>
        <w:t>492.18万元</w:t>
      </w:r>
      <w:r>
        <w:rPr>
          <w:rFonts w:eastAsia="仿宋_GB2312"/>
          <w:sz w:val="32"/>
          <w:szCs w:val="32"/>
        </w:rPr>
        <w:t>，增长</w:t>
      </w:r>
      <w:r>
        <w:rPr>
          <w:rFonts w:hint="eastAsia" w:eastAsia="仿宋_GB2312"/>
          <w:sz w:val="32"/>
          <w:szCs w:val="32"/>
        </w:rPr>
        <w:t>7.3</w:t>
      </w:r>
      <w:r>
        <w:rPr>
          <w:rFonts w:eastAsia="仿宋_GB2312"/>
          <w:sz w:val="32"/>
          <w:szCs w:val="32"/>
        </w:rPr>
        <w:t>%。</w:t>
      </w:r>
      <w:r>
        <w:rPr>
          <w:rFonts w:hint="eastAsia" w:eastAsia="仿宋_GB2312"/>
          <w:sz w:val="32"/>
          <w:szCs w:val="32"/>
        </w:rPr>
        <w:t>其中机关运行经费1185.75万元，同比2022年增加288.5万元，上升32.15%，占全年支出的16.3%。</w:t>
      </w:r>
    </w:p>
    <w:p>
      <w:pPr>
        <w:autoSpaceDE w:val="0"/>
        <w:autoSpaceDN w:val="0"/>
        <w:adjustRightInd w:val="0"/>
        <w:spacing w:line="600" w:lineRule="exact"/>
        <w:ind w:firstLine="640" w:firstLineChars="200"/>
        <w:rPr>
          <w:rFonts w:hAnsi="黑体" w:eastAsia="黑体"/>
          <w:sz w:val="32"/>
          <w:szCs w:val="32"/>
        </w:rPr>
      </w:pPr>
      <w:r>
        <w:rPr>
          <w:rFonts w:hint="eastAsia" w:eastAsia="仿宋_GB2312"/>
          <w:sz w:val="32"/>
          <w:szCs w:val="32"/>
        </w:rPr>
        <w:t>按部门预算支出经济分类科目302类，2023年机关运行经费1185.75万元，主要包括:办公费25.75万元、印刷费8.59万元、水费6.5万元、电费24.16元、邮电费54.27万元、差旅费119.85万元、维修(护)费7.43万元、会议费9.46万元、培训费9.46万元、公务接待费6.75万元、专用材料费269万元，工会经费48.75万元、福利费7.58万元、公务用车运行维护费108.3万元、其他交通费用227.82万元、其他商品和服务支出252.04万元。</w:t>
      </w:r>
    </w:p>
    <w:p>
      <w:pPr>
        <w:autoSpaceDE w:val="0"/>
        <w:autoSpaceDN w:val="0"/>
        <w:adjustRightInd w:val="0"/>
        <w:spacing w:line="600" w:lineRule="exact"/>
        <w:ind w:firstLine="643" w:firstLineChars="200"/>
        <w:rPr>
          <w:rFonts w:eastAsia="楷体_GB2312"/>
          <w:b/>
          <w:sz w:val="32"/>
          <w:szCs w:val="32"/>
        </w:rPr>
      </w:pPr>
      <w:r>
        <w:rPr>
          <w:rFonts w:eastAsia="楷体_GB2312"/>
          <w:b/>
          <w:sz w:val="32"/>
          <w:szCs w:val="32"/>
        </w:rPr>
        <w:t>（二）政府采购情况说明</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2023年政府采购</w:t>
      </w:r>
      <w:r>
        <w:rPr>
          <w:rFonts w:eastAsia="仿宋_GB2312"/>
          <w:sz w:val="32"/>
          <w:szCs w:val="32"/>
        </w:rPr>
        <w:t>总预算数额</w:t>
      </w:r>
      <w:r>
        <w:rPr>
          <w:rFonts w:hint="eastAsia" w:eastAsia="仿宋_GB2312"/>
          <w:sz w:val="32"/>
          <w:szCs w:val="32"/>
        </w:rPr>
        <w:t>60.84万元</w:t>
      </w:r>
      <w:r>
        <w:rPr>
          <w:rFonts w:eastAsia="仿宋_GB2312"/>
          <w:sz w:val="32"/>
          <w:szCs w:val="32"/>
        </w:rPr>
        <w:t>，与上年同比增</w:t>
      </w:r>
      <w:r>
        <w:rPr>
          <w:rFonts w:hint="eastAsia" w:eastAsia="仿宋_GB2312"/>
          <w:sz w:val="32"/>
          <w:szCs w:val="32"/>
        </w:rPr>
        <w:t>加60.84万元，</w:t>
      </w:r>
      <w:r>
        <w:rPr>
          <w:rFonts w:eastAsia="仿宋_GB2312"/>
          <w:sz w:val="32"/>
          <w:szCs w:val="32"/>
        </w:rPr>
        <w:t>增</w:t>
      </w:r>
      <w:r>
        <w:rPr>
          <w:rFonts w:hint="eastAsia" w:eastAsia="仿宋_GB2312"/>
          <w:sz w:val="32"/>
          <w:szCs w:val="32"/>
        </w:rPr>
        <w:t>长100</w:t>
      </w:r>
      <w:r>
        <w:rPr>
          <w:rFonts w:eastAsia="仿宋_GB2312"/>
          <w:sz w:val="32"/>
          <w:szCs w:val="32"/>
        </w:rPr>
        <w:t>%，增减原因</w:t>
      </w:r>
      <w:r>
        <w:rPr>
          <w:rFonts w:hint="eastAsia" w:eastAsia="仿宋_GB2312"/>
          <w:sz w:val="32"/>
          <w:szCs w:val="32"/>
        </w:rPr>
        <w:t>是因为去年无政府采购预算</w:t>
      </w:r>
      <w:r>
        <w:rPr>
          <w:rFonts w:eastAsia="仿宋_GB2312"/>
          <w:sz w:val="32"/>
          <w:szCs w:val="32"/>
        </w:rPr>
        <w:t>。其中（按资金来源分）：</w:t>
      </w:r>
      <w:r>
        <w:rPr>
          <w:rFonts w:hint="eastAsia" w:eastAsia="仿宋_GB2312"/>
          <w:sz w:val="32"/>
          <w:szCs w:val="32"/>
        </w:rPr>
        <w:t>上年结余收入60.84万</w:t>
      </w:r>
      <w:r>
        <w:rPr>
          <w:rFonts w:eastAsia="仿宋_GB2312"/>
          <w:sz w:val="32"/>
          <w:szCs w:val="32"/>
        </w:rPr>
        <w:t xml:space="preserve">元。 </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分货物类预算数额</w:t>
      </w:r>
      <w:r>
        <w:rPr>
          <w:rFonts w:hint="eastAsia" w:eastAsia="仿宋_GB2312"/>
          <w:sz w:val="32"/>
          <w:szCs w:val="32"/>
        </w:rPr>
        <w:t>60.84</w:t>
      </w:r>
      <w:r>
        <w:rPr>
          <w:rFonts w:eastAsia="仿宋_GB2312"/>
          <w:sz w:val="32"/>
          <w:szCs w:val="32"/>
        </w:rPr>
        <w:t>、总预算占比</w:t>
      </w:r>
      <w:r>
        <w:rPr>
          <w:rFonts w:hint="eastAsia" w:eastAsia="仿宋_GB2312"/>
          <w:sz w:val="32"/>
          <w:szCs w:val="32"/>
        </w:rPr>
        <w:t>100%</w:t>
      </w:r>
      <w:r>
        <w:rPr>
          <w:rFonts w:eastAsia="仿宋_GB2312"/>
          <w:sz w:val="32"/>
          <w:szCs w:val="32"/>
        </w:rPr>
        <w:t>、与上年同比增</w:t>
      </w:r>
      <w:r>
        <w:rPr>
          <w:rFonts w:hint="eastAsia" w:eastAsia="仿宋_GB2312"/>
          <w:sz w:val="32"/>
          <w:szCs w:val="32"/>
        </w:rPr>
        <w:t>加60.84万元，</w:t>
      </w:r>
      <w:r>
        <w:rPr>
          <w:rFonts w:eastAsia="仿宋_GB2312"/>
          <w:sz w:val="32"/>
          <w:szCs w:val="32"/>
        </w:rPr>
        <w:t>增</w:t>
      </w:r>
      <w:r>
        <w:rPr>
          <w:rFonts w:hint="eastAsia" w:eastAsia="仿宋_GB2312"/>
          <w:sz w:val="32"/>
          <w:szCs w:val="32"/>
        </w:rPr>
        <w:t>长100</w:t>
      </w:r>
      <w:r>
        <w:rPr>
          <w:rFonts w:eastAsia="仿宋_GB2312"/>
          <w:sz w:val="32"/>
          <w:szCs w:val="32"/>
        </w:rPr>
        <w:t>%；</w:t>
      </w:r>
    </w:p>
    <w:p>
      <w:pPr>
        <w:autoSpaceDE w:val="0"/>
        <w:autoSpaceDN w:val="0"/>
        <w:adjustRightInd w:val="0"/>
        <w:spacing w:line="600" w:lineRule="exact"/>
        <w:ind w:firstLine="640" w:firstLineChars="200"/>
        <w:rPr>
          <w:rFonts w:eastAsia="仿宋_GB2312"/>
          <w:sz w:val="32"/>
          <w:szCs w:val="32"/>
        </w:rPr>
      </w:pPr>
      <w:r>
        <w:rPr>
          <w:rFonts w:eastAsia="仿宋_GB2312"/>
          <w:sz w:val="32"/>
          <w:szCs w:val="32"/>
        </w:rPr>
        <w:t>分散采购预算数额</w:t>
      </w:r>
      <w:r>
        <w:rPr>
          <w:rFonts w:hint="eastAsia" w:eastAsia="仿宋_GB2312"/>
          <w:sz w:val="32"/>
          <w:szCs w:val="32"/>
        </w:rPr>
        <w:t>60.84</w:t>
      </w:r>
      <w:r>
        <w:rPr>
          <w:rFonts w:eastAsia="仿宋_GB2312"/>
          <w:sz w:val="32"/>
          <w:szCs w:val="32"/>
        </w:rPr>
        <w:t>、总预算占比</w:t>
      </w:r>
      <w:r>
        <w:rPr>
          <w:rFonts w:hint="eastAsia" w:eastAsia="仿宋_GB2312"/>
          <w:sz w:val="32"/>
          <w:szCs w:val="32"/>
        </w:rPr>
        <w:t>100%</w:t>
      </w:r>
      <w:r>
        <w:rPr>
          <w:rFonts w:eastAsia="仿宋_GB2312"/>
          <w:sz w:val="32"/>
          <w:szCs w:val="32"/>
        </w:rPr>
        <w:t>、与上年同比增</w:t>
      </w:r>
      <w:r>
        <w:rPr>
          <w:rFonts w:hint="eastAsia" w:eastAsia="仿宋_GB2312"/>
          <w:sz w:val="32"/>
          <w:szCs w:val="32"/>
        </w:rPr>
        <w:t>加60.84万元，</w:t>
      </w:r>
      <w:r>
        <w:rPr>
          <w:rFonts w:eastAsia="仿宋_GB2312"/>
          <w:sz w:val="32"/>
          <w:szCs w:val="32"/>
        </w:rPr>
        <w:t>增</w:t>
      </w:r>
      <w:r>
        <w:rPr>
          <w:rFonts w:hint="eastAsia" w:eastAsia="仿宋_GB2312"/>
          <w:sz w:val="32"/>
          <w:szCs w:val="32"/>
        </w:rPr>
        <w:t>长100</w:t>
      </w:r>
      <w:r>
        <w:rPr>
          <w:rFonts w:eastAsia="仿宋_GB2312"/>
          <w:sz w:val="32"/>
          <w:szCs w:val="32"/>
        </w:rPr>
        <w:t>%</w:t>
      </w:r>
      <w:r>
        <w:rPr>
          <w:rFonts w:hint="eastAsia" w:eastAsia="仿宋_GB2312"/>
          <w:sz w:val="32"/>
          <w:szCs w:val="32"/>
        </w:rPr>
        <w:t>。</w:t>
      </w:r>
    </w:p>
    <w:p>
      <w:pPr>
        <w:autoSpaceDE w:val="0"/>
        <w:autoSpaceDN w:val="0"/>
        <w:adjustRightInd w:val="0"/>
        <w:snapToGrid w:val="0"/>
        <w:spacing w:line="600" w:lineRule="exact"/>
        <w:ind w:firstLine="643" w:firstLineChars="200"/>
        <w:rPr>
          <w:rFonts w:eastAsia="仿宋_GB2312"/>
          <w:b/>
          <w:sz w:val="32"/>
          <w:szCs w:val="32"/>
        </w:rPr>
      </w:pPr>
      <w:r>
        <w:rPr>
          <w:rFonts w:eastAsia="楷体_GB2312"/>
          <w:b/>
          <w:sz w:val="32"/>
          <w:szCs w:val="32"/>
        </w:rPr>
        <w:t>（三）国有资产情况说明</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截</w:t>
      </w:r>
      <w:r>
        <w:rPr>
          <w:rFonts w:hint="eastAsia" w:eastAsia="仿宋_GB2312"/>
          <w:sz w:val="32"/>
          <w:szCs w:val="32"/>
          <w:lang w:val="en-US" w:eastAsia="zh-CN"/>
        </w:rPr>
        <w:t>至</w:t>
      </w:r>
      <w:r>
        <w:rPr>
          <w:rFonts w:hint="eastAsia" w:eastAsia="仿宋_GB2312"/>
          <w:sz w:val="32"/>
          <w:szCs w:val="32"/>
        </w:rPr>
        <w:t>2022年12月31日，桂林市公安局秀峰分局共有固定资产2811.31万元，其中:房屋及构筑物152.63万元;通用设备1834.88万元;专用设备724.42万元;家具用具及其他设备99.38万元;</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截</w:t>
      </w:r>
      <w:r>
        <w:rPr>
          <w:rFonts w:hint="eastAsia" w:eastAsia="仿宋_GB2312"/>
          <w:sz w:val="32"/>
          <w:szCs w:val="32"/>
          <w:lang w:val="en-US" w:eastAsia="zh-CN"/>
        </w:rPr>
        <w:t>至</w:t>
      </w:r>
      <w:r>
        <w:rPr>
          <w:rFonts w:hint="eastAsia" w:eastAsia="仿宋_GB2312"/>
          <w:sz w:val="32"/>
          <w:szCs w:val="32"/>
        </w:rPr>
        <w:t>2022年12月31日固定资产累计折旧2400.39万元，其中:房屋及构筑物58.97万元;通用设备1607.49万元;专用设备677.79万元;家具用具及其他设备56.14万元;</w:t>
      </w:r>
      <w:bookmarkStart w:id="0" w:name="_GoBack"/>
      <w:bookmarkEnd w:id="0"/>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截</w:t>
      </w:r>
      <w:r>
        <w:rPr>
          <w:rFonts w:hint="eastAsia" w:eastAsia="仿宋_GB2312"/>
          <w:sz w:val="32"/>
          <w:szCs w:val="32"/>
          <w:lang w:val="en-US" w:eastAsia="zh-CN"/>
        </w:rPr>
        <w:t>至</w:t>
      </w:r>
      <w:r>
        <w:rPr>
          <w:rFonts w:hint="eastAsia" w:eastAsia="仿宋_GB2312"/>
          <w:sz w:val="32"/>
          <w:szCs w:val="32"/>
        </w:rPr>
        <w:t>2022年12月31日，桂林市公安局秀峰分局共有汽车40辆。</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2023年部门预算未安排车辆和单位价值200万元以上大型设备的购置预算。</w:t>
      </w:r>
    </w:p>
    <w:p>
      <w:pPr>
        <w:autoSpaceDE w:val="0"/>
        <w:autoSpaceDN w:val="0"/>
        <w:adjustRightInd w:val="0"/>
        <w:snapToGrid w:val="0"/>
        <w:spacing w:line="600" w:lineRule="exact"/>
        <w:ind w:firstLine="643" w:firstLineChars="200"/>
        <w:rPr>
          <w:rFonts w:eastAsia="楷体_GB2312"/>
          <w:b/>
          <w:sz w:val="32"/>
          <w:szCs w:val="32"/>
        </w:rPr>
      </w:pPr>
      <w:r>
        <w:rPr>
          <w:rFonts w:eastAsia="楷体_GB2312"/>
          <w:b/>
          <w:sz w:val="32"/>
          <w:szCs w:val="32"/>
        </w:rPr>
        <w:t>（四）</w:t>
      </w:r>
      <w:r>
        <w:rPr>
          <w:rFonts w:hint="eastAsia" w:eastAsia="楷体_GB2312"/>
          <w:b/>
          <w:sz w:val="32"/>
          <w:szCs w:val="32"/>
        </w:rPr>
        <w:t>重点项目预算绩效目标等情况说明</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2023年部门整体绩效目标:一是全力维护国家安全，二是全力维护社会稳定，三是全力维护治安稳定，四是全力维护公共安全。</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桂林市公安局秀峰分局2023年部门预算所有项目均已编制总体绩效目标和年度绩效目标，其中：重点项目绩效目标个数1个，项目名称为物业管理费，预算数额55.00万元。立项依据是：我分局为给民警打造一个舒适安心的工作环境，通过劳务派遣聘请了13名勤杂工（厨师）为分局办公场所、食堂提供保洁和帮厨，该费用支付给劳务派遣公司发放勤杂工的报酬，以及支付分局所队办公场所绿植日常维护所需费。实施进度计划2023年12月底之前完成，年度目标为通过保洁提高行政效能，确保工作的正常运行。</w:t>
      </w:r>
    </w:p>
    <w:p>
      <w:pPr>
        <w:autoSpaceDE w:val="0"/>
        <w:autoSpaceDN w:val="0"/>
        <w:adjustRightInd w:val="0"/>
        <w:spacing w:line="600" w:lineRule="exact"/>
        <w:ind w:firstLine="643" w:firstLineChars="200"/>
        <w:rPr>
          <w:rFonts w:eastAsia="楷体_GB2312"/>
          <w:b/>
          <w:sz w:val="32"/>
          <w:szCs w:val="32"/>
        </w:rPr>
      </w:pPr>
      <w:r>
        <w:rPr>
          <w:rFonts w:eastAsia="楷体_GB2312"/>
          <w:b/>
          <w:sz w:val="32"/>
          <w:szCs w:val="32"/>
        </w:rPr>
        <w:t>（五）工程类项目支出预算评审</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2023年我分局工程类项目支出预算评审个数为0。</w:t>
      </w:r>
    </w:p>
    <w:p>
      <w:pPr>
        <w:autoSpaceDE w:val="0"/>
        <w:autoSpaceDN w:val="0"/>
        <w:adjustRightInd w:val="0"/>
        <w:spacing w:line="600" w:lineRule="exact"/>
        <w:ind w:firstLine="643" w:firstLineChars="200"/>
        <w:rPr>
          <w:rFonts w:eastAsia="楷体_GB2312"/>
          <w:b/>
          <w:sz w:val="32"/>
          <w:szCs w:val="32"/>
        </w:rPr>
      </w:pPr>
      <w:r>
        <w:rPr>
          <w:rFonts w:eastAsia="楷体_GB2312"/>
          <w:b/>
          <w:sz w:val="32"/>
          <w:szCs w:val="32"/>
        </w:rPr>
        <w:t>（六）政府购买服务项目</w:t>
      </w:r>
    </w:p>
    <w:p>
      <w:pPr>
        <w:autoSpaceDE w:val="0"/>
        <w:autoSpaceDN w:val="0"/>
        <w:adjustRightInd w:val="0"/>
        <w:spacing w:line="600" w:lineRule="exact"/>
        <w:ind w:firstLine="640" w:firstLineChars="200"/>
        <w:rPr>
          <w:rFonts w:eastAsia="仿宋_GB2312"/>
          <w:sz w:val="32"/>
          <w:szCs w:val="32"/>
        </w:rPr>
      </w:pPr>
      <w:r>
        <w:rPr>
          <w:rFonts w:hint="eastAsia" w:eastAsia="仿宋_GB2312"/>
          <w:sz w:val="32"/>
          <w:szCs w:val="32"/>
        </w:rPr>
        <w:t>2022年我分局政府购买服务项目个数个数为0。</w:t>
      </w:r>
    </w:p>
    <w:p>
      <w:pPr>
        <w:autoSpaceDE w:val="0"/>
        <w:autoSpaceDN w:val="0"/>
        <w:adjustRightInd w:val="0"/>
        <w:spacing w:line="600" w:lineRule="exact"/>
        <w:ind w:firstLine="640" w:firstLineChars="200"/>
        <w:rPr>
          <w:rFonts w:eastAsia="黑体"/>
          <w:sz w:val="32"/>
          <w:szCs w:val="32"/>
        </w:rPr>
      </w:pPr>
      <w:r>
        <w:rPr>
          <w:rFonts w:hAnsi="黑体" w:eastAsia="黑体"/>
          <w:sz w:val="32"/>
          <w:szCs w:val="32"/>
        </w:rPr>
        <w:t>第三部分专业名词解释</w:t>
      </w:r>
    </w:p>
    <w:p>
      <w:pPr>
        <w:autoSpaceDE w:val="0"/>
        <w:autoSpaceDN w:val="0"/>
        <w:adjustRightInd w:val="0"/>
        <w:snapToGrid w:val="0"/>
        <w:spacing w:line="600" w:lineRule="exact"/>
        <w:ind w:firstLine="640" w:firstLineChars="200"/>
        <w:rPr>
          <w:rFonts w:hAnsi="仿宋" w:eastAsia="仿宋"/>
          <w:sz w:val="32"/>
          <w:szCs w:val="32"/>
        </w:rPr>
      </w:pPr>
      <w:r>
        <w:rPr>
          <w:rFonts w:hint="eastAsia" w:hAnsi="仿宋" w:eastAsia="仿宋"/>
          <w:sz w:val="32"/>
          <w:szCs w:val="32"/>
        </w:rPr>
        <w:t>1、财政拨款收入:指市级财政当年拨付的资金。</w:t>
      </w:r>
    </w:p>
    <w:p>
      <w:pPr>
        <w:autoSpaceDE w:val="0"/>
        <w:autoSpaceDN w:val="0"/>
        <w:adjustRightInd w:val="0"/>
        <w:snapToGrid w:val="0"/>
        <w:spacing w:line="600" w:lineRule="exact"/>
        <w:ind w:firstLine="640" w:firstLineChars="200"/>
        <w:rPr>
          <w:rFonts w:hAnsi="仿宋" w:eastAsia="仿宋"/>
          <w:sz w:val="32"/>
          <w:szCs w:val="32"/>
        </w:rPr>
      </w:pPr>
      <w:r>
        <w:rPr>
          <w:rFonts w:hint="eastAsia" w:hAnsi="仿宋" w:eastAsia="仿宋"/>
          <w:sz w:val="32"/>
          <w:szCs w:val="32"/>
        </w:rPr>
        <w:t>2、其他收入:指除上述“财政拨款收入”、“事业收入”、“事业单位经营收入”等以外的收入。</w:t>
      </w:r>
    </w:p>
    <w:p>
      <w:pPr>
        <w:autoSpaceDE w:val="0"/>
        <w:autoSpaceDN w:val="0"/>
        <w:adjustRightInd w:val="0"/>
        <w:snapToGrid w:val="0"/>
        <w:spacing w:line="600" w:lineRule="exact"/>
        <w:ind w:firstLine="640" w:firstLineChars="200"/>
        <w:rPr>
          <w:rFonts w:hAnsi="仿宋" w:eastAsia="仿宋"/>
          <w:sz w:val="32"/>
          <w:szCs w:val="32"/>
        </w:rPr>
      </w:pPr>
      <w:r>
        <w:rPr>
          <w:rFonts w:hint="eastAsia" w:hAnsi="仿宋" w:eastAsia="仿宋"/>
          <w:sz w:val="32"/>
          <w:szCs w:val="32"/>
        </w:rPr>
        <w:t>3、上年结转:指以前年度尚未完成、结转到本年度仍按原规定用途继续使用的资金。</w:t>
      </w:r>
    </w:p>
    <w:p>
      <w:pPr>
        <w:autoSpaceDE w:val="0"/>
        <w:autoSpaceDN w:val="0"/>
        <w:adjustRightInd w:val="0"/>
        <w:snapToGrid w:val="0"/>
        <w:spacing w:line="600" w:lineRule="exact"/>
        <w:ind w:firstLine="640" w:firstLineChars="200"/>
        <w:rPr>
          <w:rFonts w:hAnsi="仿宋" w:eastAsia="仿宋"/>
          <w:sz w:val="32"/>
          <w:szCs w:val="32"/>
        </w:rPr>
      </w:pPr>
      <w:r>
        <w:rPr>
          <w:rFonts w:hint="eastAsia" w:hAnsi="仿宋" w:eastAsia="仿宋"/>
          <w:sz w:val="32"/>
          <w:szCs w:val="32"/>
        </w:rPr>
        <w:t>4、基本支出:指为保障机构正常运转、完成日常工作任务而发生的人员经费和日常公用经费。</w:t>
      </w:r>
    </w:p>
    <w:p>
      <w:pPr>
        <w:autoSpaceDE w:val="0"/>
        <w:autoSpaceDN w:val="0"/>
        <w:adjustRightInd w:val="0"/>
        <w:snapToGrid w:val="0"/>
        <w:spacing w:line="600" w:lineRule="exact"/>
        <w:ind w:firstLine="640" w:firstLineChars="200"/>
        <w:rPr>
          <w:rFonts w:hAnsi="仿宋" w:eastAsia="仿宋"/>
          <w:sz w:val="32"/>
          <w:szCs w:val="32"/>
        </w:rPr>
      </w:pPr>
      <w:r>
        <w:rPr>
          <w:rFonts w:hint="eastAsia" w:hAnsi="仿宋" w:eastAsia="仿宋"/>
          <w:sz w:val="32"/>
          <w:szCs w:val="32"/>
        </w:rPr>
        <w:t>5、项目支出:指在基本支出之外为完成特定行政任务和事业发展目标所发生的支出。</w:t>
      </w:r>
    </w:p>
    <w:p>
      <w:pPr>
        <w:autoSpaceDE w:val="0"/>
        <w:autoSpaceDN w:val="0"/>
        <w:adjustRightInd w:val="0"/>
        <w:snapToGrid w:val="0"/>
        <w:spacing w:line="600" w:lineRule="exact"/>
        <w:ind w:firstLine="640" w:firstLineChars="200"/>
        <w:rPr>
          <w:rFonts w:hAnsi="仿宋" w:eastAsia="仿宋"/>
          <w:sz w:val="32"/>
          <w:szCs w:val="32"/>
        </w:rPr>
      </w:pPr>
      <w:r>
        <w:rPr>
          <w:rFonts w:hint="eastAsia" w:hAnsi="仿宋" w:eastAsia="仿宋"/>
          <w:sz w:val="32"/>
          <w:szCs w:val="32"/>
        </w:rPr>
        <w:t>6、机关运行经费:填列行政单位和参照公务员法管理的事业单位使用一般公共预算财政拨款安排的基本支出中的日常公用经费支出，相关数据应与预算公开06表基本支出—商品和服务支出保持一致。</w:t>
      </w:r>
    </w:p>
    <w:p>
      <w:pPr>
        <w:autoSpaceDE w:val="0"/>
        <w:autoSpaceDN w:val="0"/>
        <w:adjustRightInd w:val="0"/>
        <w:snapToGrid w:val="0"/>
        <w:spacing w:line="600" w:lineRule="exact"/>
        <w:ind w:firstLine="640" w:firstLineChars="200"/>
        <w:rPr>
          <w:rFonts w:hAnsi="黑体" w:eastAsia="黑体"/>
          <w:sz w:val="32"/>
          <w:szCs w:val="32"/>
        </w:rPr>
      </w:pPr>
      <w:r>
        <w:rPr>
          <w:rFonts w:hAnsi="黑体" w:eastAsia="黑体"/>
          <w:sz w:val="32"/>
          <w:szCs w:val="32"/>
        </w:rPr>
        <w:t>第四部分部门预算报表</w:t>
      </w:r>
    </w:p>
    <w:p>
      <w:pPr>
        <w:adjustRightInd w:val="0"/>
        <w:snapToGrid w:val="0"/>
        <w:spacing w:line="600" w:lineRule="exact"/>
        <w:ind w:firstLine="640" w:firstLineChars="200"/>
        <w:rPr>
          <w:rFonts w:eastAsia="仿宋_GB2312"/>
          <w:sz w:val="32"/>
          <w:szCs w:val="32"/>
        </w:rPr>
      </w:pPr>
      <w:r>
        <w:rPr>
          <w:rFonts w:eastAsia="仿宋_GB2312"/>
          <w:sz w:val="32"/>
          <w:szCs w:val="32"/>
        </w:rPr>
        <w:t>一、部门收支总体情况表（表1）</w:t>
      </w:r>
    </w:p>
    <w:p>
      <w:pPr>
        <w:adjustRightInd w:val="0"/>
        <w:snapToGrid w:val="0"/>
        <w:spacing w:line="600" w:lineRule="exact"/>
        <w:ind w:firstLine="640" w:firstLineChars="200"/>
        <w:rPr>
          <w:rFonts w:eastAsia="仿宋_GB2312"/>
          <w:sz w:val="32"/>
          <w:szCs w:val="32"/>
        </w:rPr>
      </w:pPr>
      <w:r>
        <w:rPr>
          <w:rFonts w:eastAsia="仿宋_GB2312"/>
          <w:sz w:val="32"/>
          <w:szCs w:val="32"/>
        </w:rPr>
        <w:t>二、部门收入总体情况表（表2）</w:t>
      </w:r>
    </w:p>
    <w:p>
      <w:pPr>
        <w:adjustRightInd w:val="0"/>
        <w:snapToGrid w:val="0"/>
        <w:spacing w:line="600" w:lineRule="exact"/>
        <w:ind w:firstLine="640" w:firstLineChars="200"/>
        <w:rPr>
          <w:rFonts w:eastAsia="仿宋_GB2312"/>
          <w:sz w:val="32"/>
          <w:szCs w:val="32"/>
        </w:rPr>
      </w:pPr>
      <w:r>
        <w:rPr>
          <w:rFonts w:eastAsia="仿宋_GB2312"/>
          <w:sz w:val="32"/>
          <w:szCs w:val="32"/>
        </w:rPr>
        <w:t>三、部门支出总体情况表（表3）</w:t>
      </w:r>
    </w:p>
    <w:p>
      <w:pPr>
        <w:adjustRightInd w:val="0"/>
        <w:snapToGrid w:val="0"/>
        <w:spacing w:line="600" w:lineRule="exact"/>
        <w:ind w:firstLine="640" w:firstLineChars="200"/>
        <w:rPr>
          <w:rFonts w:eastAsia="仿宋_GB2312"/>
          <w:sz w:val="32"/>
          <w:szCs w:val="32"/>
        </w:rPr>
      </w:pPr>
      <w:r>
        <w:rPr>
          <w:rFonts w:eastAsia="仿宋_GB2312"/>
          <w:sz w:val="32"/>
          <w:szCs w:val="32"/>
        </w:rPr>
        <w:t>四、财政拨款收支总体情况表（表4）</w:t>
      </w:r>
    </w:p>
    <w:p>
      <w:pPr>
        <w:adjustRightInd w:val="0"/>
        <w:snapToGrid w:val="0"/>
        <w:spacing w:line="600" w:lineRule="exact"/>
        <w:ind w:firstLine="640" w:firstLineChars="200"/>
        <w:rPr>
          <w:rFonts w:eastAsia="仿宋_GB2312"/>
          <w:sz w:val="32"/>
          <w:szCs w:val="32"/>
        </w:rPr>
      </w:pPr>
      <w:r>
        <w:rPr>
          <w:rFonts w:eastAsia="仿宋_GB2312"/>
          <w:sz w:val="32"/>
          <w:szCs w:val="32"/>
        </w:rPr>
        <w:t>五、一般公共预算支出情况表（表5）</w:t>
      </w:r>
    </w:p>
    <w:p>
      <w:pPr>
        <w:adjustRightInd w:val="0"/>
        <w:snapToGrid w:val="0"/>
        <w:spacing w:line="600" w:lineRule="exact"/>
        <w:ind w:firstLine="640" w:firstLineChars="200"/>
        <w:rPr>
          <w:rFonts w:eastAsia="仿宋_GB2312"/>
          <w:sz w:val="32"/>
          <w:szCs w:val="32"/>
        </w:rPr>
      </w:pPr>
      <w:r>
        <w:rPr>
          <w:rFonts w:eastAsia="仿宋_GB2312"/>
          <w:sz w:val="32"/>
          <w:szCs w:val="32"/>
        </w:rPr>
        <w:t>六、一般公共预算基本支出情况表（表6）</w:t>
      </w:r>
    </w:p>
    <w:p>
      <w:pPr>
        <w:adjustRightInd w:val="0"/>
        <w:snapToGrid w:val="0"/>
        <w:spacing w:line="600" w:lineRule="exact"/>
        <w:ind w:firstLine="640" w:firstLineChars="200"/>
        <w:rPr>
          <w:rFonts w:eastAsia="仿宋_GB2312"/>
          <w:b/>
          <w:sz w:val="28"/>
          <w:szCs w:val="28"/>
        </w:rPr>
      </w:pPr>
      <w:r>
        <w:rPr>
          <w:rFonts w:eastAsia="仿宋_GB2312"/>
          <w:sz w:val="32"/>
          <w:szCs w:val="32"/>
        </w:rPr>
        <w:t>七、一般公共预算“三公”经费支出情况表（表7）</w:t>
      </w:r>
    </w:p>
    <w:p>
      <w:pPr>
        <w:adjustRightInd w:val="0"/>
        <w:snapToGrid w:val="0"/>
        <w:spacing w:line="600" w:lineRule="exact"/>
        <w:ind w:firstLine="640" w:firstLineChars="200"/>
        <w:rPr>
          <w:rFonts w:eastAsia="仿宋_GB2312"/>
          <w:sz w:val="32"/>
          <w:szCs w:val="32"/>
        </w:rPr>
      </w:pPr>
      <w:r>
        <w:rPr>
          <w:rFonts w:eastAsia="仿宋_GB2312"/>
          <w:sz w:val="32"/>
          <w:szCs w:val="32"/>
        </w:rPr>
        <w:t>八、政府性基金预算支出情况表（表8）</w:t>
      </w:r>
    </w:p>
    <w:p>
      <w:pPr>
        <w:adjustRightInd w:val="0"/>
        <w:snapToGrid w:val="0"/>
        <w:spacing w:line="600" w:lineRule="exact"/>
        <w:ind w:firstLine="640" w:firstLineChars="200"/>
        <w:rPr>
          <w:rFonts w:eastAsia="仿宋_GB2312"/>
          <w:sz w:val="32"/>
          <w:szCs w:val="32"/>
        </w:rPr>
      </w:pPr>
      <w:r>
        <w:rPr>
          <w:rFonts w:eastAsia="仿宋_GB2312"/>
          <w:sz w:val="32"/>
          <w:szCs w:val="32"/>
        </w:rPr>
        <w:t>九、国有资本经营预算支出表（表9）</w:t>
      </w:r>
    </w:p>
    <w:p>
      <w:pPr>
        <w:adjustRightInd w:val="0"/>
        <w:snapToGrid w:val="0"/>
        <w:spacing w:line="600" w:lineRule="exact"/>
        <w:ind w:firstLine="640" w:firstLineChars="200"/>
        <w:rPr>
          <w:rFonts w:eastAsia="仿宋_GB2312"/>
          <w:sz w:val="32"/>
          <w:szCs w:val="32"/>
        </w:rPr>
      </w:pPr>
      <w:r>
        <w:rPr>
          <w:rFonts w:eastAsia="仿宋_GB2312"/>
          <w:sz w:val="32"/>
          <w:szCs w:val="32"/>
        </w:rPr>
        <w:t>十、政府采购预算表（表10）</w:t>
      </w:r>
    </w:p>
    <w:p>
      <w:pPr>
        <w:adjustRightInd w:val="0"/>
        <w:snapToGrid w:val="0"/>
        <w:spacing w:line="600" w:lineRule="exact"/>
        <w:ind w:firstLine="640" w:firstLineChars="200"/>
        <w:rPr>
          <w:rFonts w:eastAsia="仿宋_GB2312"/>
          <w:sz w:val="32"/>
          <w:szCs w:val="32"/>
        </w:rPr>
      </w:pPr>
      <w:r>
        <w:rPr>
          <w:rFonts w:eastAsia="仿宋_GB2312"/>
          <w:sz w:val="32"/>
          <w:szCs w:val="32"/>
        </w:rPr>
        <w:t>十一、部门预算支出经济分类表（表11）</w:t>
      </w:r>
    </w:p>
    <w:p>
      <w:pPr>
        <w:adjustRightInd w:val="0"/>
        <w:snapToGrid w:val="0"/>
        <w:spacing w:line="600" w:lineRule="exact"/>
        <w:ind w:firstLine="640" w:firstLineChars="200"/>
        <w:rPr>
          <w:rFonts w:eastAsia="仿宋_GB2312"/>
          <w:sz w:val="32"/>
          <w:szCs w:val="32"/>
        </w:rPr>
      </w:pPr>
      <w:r>
        <w:rPr>
          <w:rFonts w:eastAsia="仿宋_GB2312"/>
          <w:sz w:val="32"/>
          <w:szCs w:val="32"/>
        </w:rPr>
        <w:t>十二、政府预算支出经济分类表（表12）</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十三、项目支出（部门预算）重点项目绩效目标表（表13）</w:t>
      </w:r>
    </w:p>
    <w:p>
      <w:pPr>
        <w:spacing w:line="600" w:lineRule="exact"/>
        <w:ind w:firstLine="640" w:firstLineChars="200"/>
        <w:rPr>
          <w:rFonts w:eastAsia="黑体"/>
          <w:sz w:val="32"/>
          <w:szCs w:val="32"/>
        </w:rPr>
      </w:pPr>
      <w:r>
        <w:rPr>
          <w:rFonts w:hAnsi="黑体" w:eastAsia="黑体"/>
          <w:sz w:val="32"/>
          <w:szCs w:val="32"/>
        </w:rPr>
        <w:t>上述报表详见附件。</w:t>
      </w:r>
    </w:p>
    <w:p>
      <w:pPr>
        <w:autoSpaceDE w:val="0"/>
        <w:autoSpaceDN w:val="0"/>
        <w:adjustRightInd w:val="0"/>
        <w:spacing w:line="600" w:lineRule="exact"/>
        <w:ind w:firstLine="643" w:firstLineChars="200"/>
        <w:rPr>
          <w:rFonts w:eastAsia="仿宋_GB2312"/>
          <w:b/>
          <w:sz w:val="32"/>
          <w:szCs w:val="32"/>
        </w:rPr>
      </w:pPr>
      <w:r>
        <w:rPr>
          <w:rFonts w:eastAsia="仿宋_GB2312"/>
          <w:b/>
          <w:sz w:val="32"/>
          <w:szCs w:val="32"/>
        </w:rPr>
        <w:t>附：桂林市部门预算报表（预算公开）.xls</w:t>
      </w:r>
    </w:p>
    <w:p>
      <w:pPr>
        <w:wordWrap w:val="0"/>
        <w:spacing w:line="600"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 xml:space="preserve"> </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35812"/>
    <w:multiLevelType w:val="singleLevel"/>
    <w:tmpl w:val="82735812"/>
    <w:lvl w:ilvl="0" w:tentative="0">
      <w:start w:val="1"/>
      <w:numFmt w:val="decimal"/>
      <w:suff w:val="nothing"/>
      <w:lvlText w:val="%1、"/>
      <w:lvlJc w:val="left"/>
    </w:lvl>
  </w:abstractNum>
  <w:abstractNum w:abstractNumId="1">
    <w:nsid w:val="A8BD3C79"/>
    <w:multiLevelType w:val="singleLevel"/>
    <w:tmpl w:val="A8BD3C79"/>
    <w:lvl w:ilvl="0" w:tentative="0">
      <w:start w:val="2"/>
      <w:numFmt w:val="chineseCounting"/>
      <w:suff w:val="nothing"/>
      <w:lvlText w:val="（%1）"/>
      <w:lvlJc w:val="left"/>
      <w:rPr>
        <w:rFonts w:hint="eastAsia"/>
      </w:rPr>
    </w:lvl>
  </w:abstractNum>
  <w:abstractNum w:abstractNumId="2">
    <w:nsid w:val="B9290B0D"/>
    <w:multiLevelType w:val="singleLevel"/>
    <w:tmpl w:val="B9290B0D"/>
    <w:lvl w:ilvl="0" w:tentative="0">
      <w:start w:val="2"/>
      <w:numFmt w:val="chineseCounting"/>
      <w:suff w:val="nothing"/>
      <w:lvlText w:val="%1、"/>
      <w:lvlJc w:val="left"/>
      <w:rPr>
        <w:rFonts w:hint="eastAsia"/>
      </w:rPr>
    </w:lvl>
  </w:abstractNum>
  <w:abstractNum w:abstractNumId="3">
    <w:nsid w:val="BB68A33B"/>
    <w:multiLevelType w:val="singleLevel"/>
    <w:tmpl w:val="BB68A33B"/>
    <w:lvl w:ilvl="0" w:tentative="0">
      <w:start w:val="1"/>
      <w:numFmt w:val="decimal"/>
      <w:suff w:val="nothing"/>
      <w:lvlText w:val="（%1）"/>
      <w:lvlJc w:val="left"/>
      <w:pPr>
        <w:ind w:left="480" w:firstLine="0"/>
      </w:pPr>
    </w:lvl>
  </w:abstractNum>
  <w:abstractNum w:abstractNumId="4">
    <w:nsid w:val="D7F6E637"/>
    <w:multiLevelType w:val="singleLevel"/>
    <w:tmpl w:val="D7F6E637"/>
    <w:lvl w:ilvl="0" w:tentative="0">
      <w:start w:val="10"/>
      <w:numFmt w:val="chineseCounting"/>
      <w:suff w:val="nothing"/>
      <w:lvlText w:val="%1、"/>
      <w:lvlJc w:val="left"/>
      <w:rPr>
        <w:rFonts w:hint="eastAsia"/>
      </w:rPr>
    </w:lvl>
  </w:abstractNum>
  <w:abstractNum w:abstractNumId="5">
    <w:nsid w:val="4D3BAACE"/>
    <w:multiLevelType w:val="singleLevel"/>
    <w:tmpl w:val="4D3BAACE"/>
    <w:lvl w:ilvl="0" w:tentative="0">
      <w:start w:val="1"/>
      <w:numFmt w:val="decimal"/>
      <w:suff w:val="nothing"/>
      <w:lvlText w:val="%1、"/>
      <w:lvlJc w:val="left"/>
    </w:lvl>
  </w:abstractNum>
  <w:abstractNum w:abstractNumId="6">
    <w:nsid w:val="792EDED9"/>
    <w:multiLevelType w:val="singleLevel"/>
    <w:tmpl w:val="792EDED9"/>
    <w:lvl w:ilvl="0" w:tentative="0">
      <w:start w:val="1"/>
      <w:numFmt w:val="decimal"/>
      <w:suff w:val="nothing"/>
      <w:lvlText w:val="（%1）"/>
      <w:lvlJc w:val="left"/>
      <w:pPr>
        <w:ind w:left="480" w:firstLine="0"/>
      </w:pPr>
    </w:lvl>
  </w:abstractNum>
  <w:num w:numId="1">
    <w:abstractNumId w:val="2"/>
  </w:num>
  <w:num w:numId="2">
    <w:abstractNumId w:val="5"/>
  </w:num>
  <w:num w:numId="3">
    <w:abstractNumId w:val="6"/>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5OGQ1MDk3NjM3ZDE3NDMwNjBmZDFkODFlNDg3MDUifQ=="/>
  </w:docVars>
  <w:rsids>
    <w:rsidRoot w:val="004A4C10"/>
    <w:rsid w:val="00046212"/>
    <w:rsid w:val="000867F0"/>
    <w:rsid w:val="00094727"/>
    <w:rsid w:val="000C41D7"/>
    <w:rsid w:val="000F3146"/>
    <w:rsid w:val="00102B13"/>
    <w:rsid w:val="001217B8"/>
    <w:rsid w:val="00125E05"/>
    <w:rsid w:val="001441C3"/>
    <w:rsid w:val="00161A9A"/>
    <w:rsid w:val="001D6130"/>
    <w:rsid w:val="001D63D0"/>
    <w:rsid w:val="00213829"/>
    <w:rsid w:val="00234564"/>
    <w:rsid w:val="00246BEE"/>
    <w:rsid w:val="002F523C"/>
    <w:rsid w:val="003C2213"/>
    <w:rsid w:val="00464BAD"/>
    <w:rsid w:val="004A4C10"/>
    <w:rsid w:val="00553AE0"/>
    <w:rsid w:val="00606283"/>
    <w:rsid w:val="00612365"/>
    <w:rsid w:val="00716C9A"/>
    <w:rsid w:val="008062E6"/>
    <w:rsid w:val="00846A1F"/>
    <w:rsid w:val="00874C44"/>
    <w:rsid w:val="008D479E"/>
    <w:rsid w:val="008F6D83"/>
    <w:rsid w:val="00945CA1"/>
    <w:rsid w:val="00A6680A"/>
    <w:rsid w:val="00AB4310"/>
    <w:rsid w:val="00AF6EDB"/>
    <w:rsid w:val="00B17C68"/>
    <w:rsid w:val="00C104E4"/>
    <w:rsid w:val="00C11729"/>
    <w:rsid w:val="00D3464C"/>
    <w:rsid w:val="00D772AD"/>
    <w:rsid w:val="00E02380"/>
    <w:rsid w:val="00E87F7E"/>
    <w:rsid w:val="0BD426AA"/>
    <w:rsid w:val="120A1046"/>
    <w:rsid w:val="17424C10"/>
    <w:rsid w:val="17DF3F72"/>
    <w:rsid w:val="1BC87339"/>
    <w:rsid w:val="2124323B"/>
    <w:rsid w:val="29B6666C"/>
    <w:rsid w:val="2B722C34"/>
    <w:rsid w:val="2D8E70C7"/>
    <w:rsid w:val="2DD702D0"/>
    <w:rsid w:val="2F90625C"/>
    <w:rsid w:val="36C34FE3"/>
    <w:rsid w:val="45E849D9"/>
    <w:rsid w:val="48B11724"/>
    <w:rsid w:val="4ADD5142"/>
    <w:rsid w:val="5BC16585"/>
    <w:rsid w:val="624314EA"/>
    <w:rsid w:val="659632DC"/>
    <w:rsid w:val="67665375"/>
    <w:rsid w:val="72936D56"/>
    <w:rsid w:val="745C363E"/>
    <w:rsid w:val="767B7343"/>
    <w:rsid w:val="77D84CB4"/>
    <w:rsid w:val="7C8A1B2F"/>
    <w:rsid w:val="7DBA10EA"/>
    <w:rsid w:val="7F113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customStyle="1" w:styleId="8">
    <w:name w:val="页眉 Char"/>
    <w:basedOn w:val="7"/>
    <w:link w:val="4"/>
    <w:semiHidden/>
    <w:qFormat/>
    <w:uiPriority w:val="99"/>
    <w:rPr>
      <w:rFonts w:ascii="Times New Roman" w:hAnsi="Times New Roman" w:eastAsia="宋体" w:cs="Times New Roman"/>
      <w:sz w:val="18"/>
      <w:szCs w:val="18"/>
    </w:rPr>
  </w:style>
  <w:style w:type="character" w:customStyle="1" w:styleId="9">
    <w:name w:val="页脚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D21F5-7944-4994-ABD0-792421E383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5332</Words>
  <Characters>6634</Characters>
  <Lines>48</Lines>
  <Paragraphs>13</Paragraphs>
  <TotalTime>6</TotalTime>
  <ScaleCrop>false</ScaleCrop>
  <LinksUpToDate>false</LinksUpToDate>
  <CharactersWithSpaces>6649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2023-02-17T02:12:00Z</dcterms:created>
  <dc:creator>夏候飞</dc:creator>
  <cp:lastModifiedBy>杨树</cp:lastModifiedBy>
  <cp:lastPrinted>2023-02-15T02:37:00Z</cp:lastPrinted>
  <dcterms:modified xsi:type="dcterms:W3CDTF">2023-05-19T08:24:48Z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78C3590AE36B4166B3A338E937A6605C</vt:lpwstr>
  </property>
</Properties>
</file>