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33" w:rightChars="-104"/>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桂林市动物疫病预防控制中心</w:t>
      </w:r>
    </w:p>
    <w:p>
      <w:pPr>
        <w:adjustRightInd w:val="0"/>
        <w:snapToGrid w:val="0"/>
        <w:spacing w:line="560" w:lineRule="exact"/>
        <w:ind w:right="-333" w:rightChars="-104"/>
        <w:jc w:val="center"/>
        <w:rPr>
          <w:rFonts w:ascii="黑体" w:hAnsi="宋体" w:eastAsia="黑体"/>
          <w:bCs/>
          <w:szCs w:val="32"/>
        </w:rPr>
      </w:pPr>
      <w:r>
        <w:rPr>
          <w:rFonts w:hint="eastAsia" w:ascii="方正小标宋简体" w:eastAsia="方正小标宋简体"/>
          <w:sz w:val="44"/>
          <w:szCs w:val="44"/>
        </w:rPr>
        <w:t>2024年部门预算公开说明</w:t>
      </w:r>
    </w:p>
    <w:p>
      <w:pPr>
        <w:adjustRightInd w:val="0"/>
        <w:snapToGrid w:val="0"/>
        <w:spacing w:line="560" w:lineRule="exact"/>
        <w:ind w:right="-333" w:rightChars="-104"/>
        <w:jc w:val="center"/>
        <w:rPr>
          <w:rFonts w:ascii="黑体" w:hAnsi="宋体" w:eastAsia="黑体"/>
          <w:bCs/>
          <w:szCs w:val="32"/>
        </w:rPr>
      </w:pPr>
    </w:p>
    <w:p>
      <w:pPr>
        <w:adjustRightInd w:val="0"/>
        <w:snapToGrid w:val="0"/>
        <w:spacing w:line="560" w:lineRule="exact"/>
        <w:ind w:right="-333" w:rightChars="-104"/>
        <w:jc w:val="center"/>
        <w:rPr>
          <w:rFonts w:ascii="黑体" w:hAnsi="宋体" w:eastAsia="黑体"/>
          <w:bCs/>
          <w:szCs w:val="32"/>
        </w:rPr>
      </w:pPr>
      <w:r>
        <w:rPr>
          <w:rFonts w:hint="eastAsia" w:ascii="黑体" w:hAnsi="宋体" w:eastAsia="黑体"/>
          <w:bCs/>
          <w:szCs w:val="32"/>
        </w:rPr>
        <w:t>目录</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第一部分：部门概况</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第二部分：</w:t>
      </w:r>
      <w:r>
        <w:rPr>
          <w:rFonts w:hint="eastAsia" w:ascii="黑体" w:hAnsi="宋体" w:eastAsia="黑体"/>
          <w:szCs w:val="32"/>
        </w:rPr>
        <w:t>2024年</w:t>
      </w:r>
      <w:r>
        <w:rPr>
          <w:rFonts w:hint="eastAsia" w:ascii="黑体" w:eastAsia="黑体"/>
          <w:szCs w:val="32"/>
        </w:rPr>
        <w:t>部门预算情况说明</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lang w:eastAsia="zh-CN"/>
        </w:rPr>
      </w:pPr>
      <w:r>
        <w:rPr>
          <w:rFonts w:hint="eastAsia" w:ascii="黑体" w:hAnsi="宋体" w:eastAsia="黑体"/>
          <w:bCs/>
          <w:szCs w:val="32"/>
        </w:rPr>
        <w:t>第四部分：</w:t>
      </w:r>
      <w:r>
        <w:rPr>
          <w:rFonts w:hint="eastAsia" w:ascii="黑体" w:hAnsi="宋体" w:eastAsia="黑体"/>
          <w:szCs w:val="32"/>
        </w:rPr>
        <w:t>2024年</w:t>
      </w:r>
      <w:r>
        <w:rPr>
          <w:rFonts w:hint="eastAsia" w:ascii="黑体" w:eastAsia="黑体"/>
          <w:szCs w:val="32"/>
        </w:rPr>
        <w:t>部门预算报表</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widowControl/>
        <w:jc w:val="left"/>
        <w:rPr>
          <w:rFonts w:ascii="黑体" w:hAnsi="宋体" w:eastAsia="黑体"/>
          <w:bCs/>
          <w:szCs w:val="32"/>
        </w:rPr>
      </w:pPr>
      <w:r>
        <w:rPr>
          <w:rFonts w:ascii="黑体" w:hAnsi="宋体" w:eastAsia="黑体"/>
          <w:bCs/>
          <w:szCs w:val="32"/>
        </w:rPr>
        <w:br w:type="page"/>
      </w: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第一部分：部门概况</w:t>
      </w:r>
    </w:p>
    <w:p>
      <w:pPr>
        <w:adjustRightInd w:val="0"/>
        <w:snapToGrid w:val="0"/>
        <w:spacing w:line="56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pPr>
        <w:pStyle w:val="2"/>
        <w:adjustRightInd w:val="0"/>
        <w:snapToGrid w:val="0"/>
        <w:spacing w:line="440" w:lineRule="exact"/>
        <w:ind w:firstLine="720" w:firstLineChars="225"/>
        <w:rPr>
          <w:rFonts w:ascii="仿宋_GB2312" w:hAnsi="仿宋_GB2312" w:cs="仿宋_GB2312"/>
          <w:szCs w:val="32"/>
        </w:rPr>
      </w:pPr>
      <w:r>
        <w:rPr>
          <w:rFonts w:hint="eastAsia" w:ascii="Times New Roman" w:hAnsi="Times New Roman" w:eastAsia="仿宋_GB2312" w:cs="Times New Roman"/>
          <w:kern w:val="2"/>
          <w:sz w:val="32"/>
          <w:szCs w:val="32"/>
          <w:lang w:val="en-US" w:eastAsia="zh-CN" w:bidi="ar-SA"/>
        </w:rPr>
        <w:t>桂林市动物疫病预防控制中心负责动物疫病预防技术方案，组织实施动物疫病预防、控制，负责动物疫病、疫情的诊断监测及检测，对县、区的动物疫病、疫情进行防控工作技术指导。</w:t>
      </w:r>
    </w:p>
    <w:p>
      <w:pPr>
        <w:spacing w:line="560" w:lineRule="exact"/>
        <w:ind w:firstLine="640" w:firstLineChars="200"/>
        <w:rPr>
          <w:rFonts w:ascii="黑体" w:hAnsi="宋体" w:eastAsia="黑体"/>
          <w:szCs w:val="32"/>
        </w:rPr>
      </w:pPr>
      <w:r>
        <w:rPr>
          <w:rFonts w:hint="eastAsia" w:ascii="黑体" w:hAnsi="宋体" w:eastAsia="黑体"/>
          <w:szCs w:val="32"/>
        </w:rPr>
        <w:t>二、机构设置情况</w:t>
      </w:r>
    </w:p>
    <w:p>
      <w:pPr>
        <w:pStyle w:val="2"/>
        <w:adjustRightInd w:val="0"/>
        <w:snapToGrid w:val="0"/>
        <w:spacing w:line="440" w:lineRule="exact"/>
        <w:ind w:firstLine="720" w:firstLineChars="225"/>
        <w:rPr>
          <w:rFonts w:eastAsia="黑体"/>
          <w:szCs w:val="32"/>
        </w:rPr>
      </w:pPr>
      <w:r>
        <w:rPr>
          <w:rFonts w:hint="eastAsia" w:ascii="Times New Roman" w:hAnsi="Times New Roman" w:eastAsia="仿宋_GB2312" w:cs="Times New Roman"/>
          <w:kern w:val="2"/>
          <w:sz w:val="32"/>
          <w:szCs w:val="32"/>
          <w:lang w:val="en-US" w:eastAsia="zh-CN" w:bidi="ar-SA"/>
        </w:rPr>
        <w:t>桂林市动物疫病预防控制中心，是直属桂林市农业农村局的科级公益一类全额拨款事业单位。中心设办公室、财务室、防疫科、信息科、实验室、疫苗科。</w:t>
      </w:r>
    </w:p>
    <w:p>
      <w:pPr>
        <w:autoSpaceDE w:val="0"/>
        <w:autoSpaceDN w:val="0"/>
        <w:adjustRightInd w:val="0"/>
        <w:spacing w:line="586" w:lineRule="exact"/>
        <w:ind w:left="16" w:leftChars="5" w:firstLine="627" w:firstLineChars="196"/>
        <w:rPr>
          <w:rFonts w:ascii="仿宋_GB2312" w:hAnsi="仿宋_GB2312" w:cs="仿宋_GB2312"/>
          <w:szCs w:val="32"/>
          <w:u w:val="single"/>
        </w:rPr>
      </w:pPr>
      <w:r>
        <w:rPr>
          <w:rFonts w:hint="eastAsia" w:ascii="黑体" w:eastAsia="黑体"/>
          <w:szCs w:val="32"/>
        </w:rPr>
        <w:t>第二部分：</w:t>
      </w:r>
      <w:r>
        <w:rPr>
          <w:rFonts w:hint="eastAsia" w:ascii="黑体" w:eastAsia="黑体"/>
          <w:szCs w:val="32"/>
          <w:lang w:eastAsia="zh-CN"/>
        </w:rPr>
        <w:t>桂林市动物疫病预防控制中心</w:t>
      </w:r>
      <w:r>
        <w:rPr>
          <w:rFonts w:eastAsia="黑体"/>
          <w:szCs w:val="32"/>
        </w:rPr>
        <w:t>202</w:t>
      </w:r>
      <w:r>
        <w:rPr>
          <w:rFonts w:hint="eastAsia" w:eastAsia="黑体"/>
          <w:szCs w:val="32"/>
        </w:rPr>
        <w:t>4</w:t>
      </w:r>
      <w:r>
        <w:rPr>
          <w:rFonts w:hAnsi="黑体" w:eastAsia="黑体"/>
          <w:szCs w:val="32"/>
        </w:rPr>
        <w:t>年部门预算情况说明</w:t>
      </w:r>
    </w:p>
    <w:p>
      <w:pPr>
        <w:tabs>
          <w:tab w:val="center" w:pos="4475"/>
        </w:tabs>
        <w:spacing w:line="560" w:lineRule="exact"/>
        <w:ind w:firstLine="645"/>
        <w:rPr>
          <w:rFonts w:ascii="黑体" w:eastAsia="黑体"/>
          <w:szCs w:val="32"/>
        </w:rPr>
      </w:pPr>
      <w:r>
        <w:rPr>
          <w:rFonts w:hint="eastAsia" w:ascii="黑体" w:eastAsia="黑体"/>
          <w:szCs w:val="32"/>
        </w:rPr>
        <w:t>一、部门收支总体情况说明</w:t>
      </w:r>
    </w:p>
    <w:p>
      <w:pPr>
        <w:tabs>
          <w:tab w:val="center" w:pos="4475"/>
        </w:tabs>
        <w:spacing w:line="560" w:lineRule="exact"/>
        <w:ind w:firstLine="645"/>
        <w:rPr>
          <w:rFonts w:ascii="黑体" w:eastAsia="黑体"/>
          <w:szCs w:val="32"/>
        </w:rPr>
      </w:pPr>
      <w:r>
        <w:rPr>
          <w:rFonts w:hint="eastAsia" w:ascii="仿宋_GB2312" w:hAnsi="宋体"/>
          <w:szCs w:val="32"/>
        </w:rPr>
        <w:t>我部门</w:t>
      </w:r>
      <w:r>
        <w:rPr>
          <w:rFonts w:hint="eastAsia" w:ascii="仿宋_GB2312"/>
          <w:szCs w:val="32"/>
        </w:rPr>
        <w:t>总收入</w:t>
      </w:r>
      <w:r>
        <w:rPr>
          <w:rFonts w:hint="eastAsia" w:ascii="仿宋_GB2312"/>
          <w:szCs w:val="32"/>
          <w:lang w:val="en-US" w:eastAsia="zh-CN"/>
        </w:rPr>
        <w:t>546.65</w:t>
      </w:r>
      <w:r>
        <w:rPr>
          <w:rFonts w:hint="eastAsia" w:ascii="仿宋_GB2312"/>
          <w:szCs w:val="32"/>
        </w:rPr>
        <w:t>万元，总支出</w:t>
      </w:r>
      <w:r>
        <w:rPr>
          <w:rFonts w:hint="eastAsia" w:ascii="仿宋_GB2312"/>
          <w:szCs w:val="32"/>
          <w:lang w:val="en-US" w:eastAsia="zh-CN"/>
        </w:rPr>
        <w:t>546.65</w:t>
      </w:r>
      <w:r>
        <w:rPr>
          <w:rFonts w:hint="eastAsia" w:ascii="仿宋_GB2312"/>
          <w:szCs w:val="32"/>
        </w:rPr>
        <w:t>万元（不含财政拨款上年未列支结转收支数）。总收入较上年增长</w:t>
      </w:r>
      <w:r>
        <w:rPr>
          <w:rFonts w:hint="eastAsia" w:ascii="仿宋_GB2312"/>
          <w:szCs w:val="32"/>
          <w:lang w:val="en-US" w:eastAsia="zh-CN"/>
        </w:rPr>
        <w:t>5.57</w:t>
      </w:r>
      <w:r>
        <w:rPr>
          <w:rFonts w:hint="eastAsia" w:ascii="仿宋_GB2312"/>
          <w:szCs w:val="32"/>
        </w:rPr>
        <w:t>%，主要原因是</w:t>
      </w:r>
      <w:r>
        <w:rPr>
          <w:rFonts w:hint="eastAsia" w:ascii="仿宋_GB2312"/>
          <w:szCs w:val="32"/>
          <w:lang w:eastAsia="zh-CN"/>
        </w:rPr>
        <w:t>人员增加，总收入支出增加</w:t>
      </w:r>
      <w:r>
        <w:rPr>
          <w:rFonts w:hint="eastAsia" w:ascii="仿宋_GB2312"/>
          <w:szCs w:val="32"/>
        </w:rPr>
        <w:t>。总支出较上年增长</w:t>
      </w:r>
      <w:r>
        <w:rPr>
          <w:rFonts w:hint="eastAsia" w:ascii="仿宋_GB2312"/>
          <w:szCs w:val="32"/>
          <w:lang w:val="en-US" w:eastAsia="zh-CN"/>
        </w:rPr>
        <w:t>5.57</w:t>
      </w:r>
      <w:r>
        <w:rPr>
          <w:rFonts w:hint="eastAsia" w:ascii="仿宋_GB2312"/>
          <w:szCs w:val="32"/>
        </w:rPr>
        <w:t>%，主要原因是</w:t>
      </w:r>
      <w:r>
        <w:rPr>
          <w:rFonts w:hint="eastAsia" w:ascii="仿宋_GB2312"/>
          <w:szCs w:val="32"/>
          <w:lang w:eastAsia="zh-CN"/>
        </w:rPr>
        <w:t>人员增加，总收入支出增加</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二、部门收入总体情况说明</w:t>
      </w:r>
    </w:p>
    <w:p>
      <w:pPr>
        <w:tabs>
          <w:tab w:val="center" w:pos="4475"/>
        </w:tabs>
        <w:spacing w:line="560" w:lineRule="exact"/>
        <w:ind w:firstLine="645"/>
        <w:rPr>
          <w:rFonts w:ascii="黑体" w:eastAsia="黑体"/>
          <w:szCs w:val="32"/>
        </w:rPr>
      </w:pPr>
      <w:r>
        <w:rPr>
          <w:rFonts w:hint="eastAsia" w:ascii="仿宋_GB2312" w:hAnsi="宋体"/>
          <w:szCs w:val="32"/>
        </w:rPr>
        <w:t>我部门</w:t>
      </w:r>
      <w:r>
        <w:rPr>
          <w:rFonts w:hint="eastAsia" w:ascii="仿宋_GB2312"/>
          <w:szCs w:val="32"/>
        </w:rPr>
        <w:t>总收入</w:t>
      </w:r>
      <w:r>
        <w:rPr>
          <w:rFonts w:hint="eastAsia" w:ascii="仿宋_GB2312"/>
          <w:szCs w:val="32"/>
          <w:lang w:val="en-US" w:eastAsia="zh-CN"/>
        </w:rPr>
        <w:t>546.65</w:t>
      </w:r>
      <w:r>
        <w:rPr>
          <w:rFonts w:hint="eastAsia" w:ascii="仿宋_GB2312"/>
          <w:szCs w:val="32"/>
        </w:rPr>
        <w:t>万元，较上年增长</w:t>
      </w:r>
      <w:r>
        <w:rPr>
          <w:rFonts w:hint="eastAsia" w:ascii="仿宋_GB2312"/>
          <w:szCs w:val="32"/>
          <w:lang w:val="en-US" w:eastAsia="zh-CN"/>
        </w:rPr>
        <w:t>5.57</w:t>
      </w:r>
      <w:r>
        <w:rPr>
          <w:rFonts w:hint="eastAsia" w:ascii="仿宋_GB2312"/>
          <w:szCs w:val="32"/>
        </w:rPr>
        <w:t>%，主要原因是</w:t>
      </w:r>
      <w:r>
        <w:rPr>
          <w:rFonts w:hint="eastAsia" w:ascii="仿宋_GB2312"/>
          <w:szCs w:val="32"/>
          <w:lang w:eastAsia="zh-CN"/>
        </w:rPr>
        <w:t>人员增加，总收入支出增加</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三、部门支出总体情况说明</w:t>
      </w:r>
    </w:p>
    <w:p>
      <w:pPr>
        <w:tabs>
          <w:tab w:val="center" w:pos="4475"/>
        </w:tabs>
        <w:spacing w:line="560" w:lineRule="exact"/>
        <w:ind w:firstLine="645"/>
        <w:rPr>
          <w:rFonts w:ascii="黑体" w:eastAsia="黑体"/>
          <w:szCs w:val="32"/>
        </w:rPr>
      </w:pPr>
      <w:r>
        <w:rPr>
          <w:rFonts w:hint="eastAsia" w:ascii="仿宋_GB2312" w:hAnsi="宋体"/>
          <w:szCs w:val="32"/>
        </w:rPr>
        <w:t>我部门</w:t>
      </w:r>
      <w:r>
        <w:rPr>
          <w:rFonts w:hint="eastAsia" w:ascii="仿宋_GB2312"/>
          <w:szCs w:val="32"/>
        </w:rPr>
        <w:t>总支出</w:t>
      </w:r>
      <w:r>
        <w:rPr>
          <w:rFonts w:hint="eastAsia" w:ascii="仿宋_GB2312"/>
          <w:szCs w:val="32"/>
          <w:lang w:val="en-US" w:eastAsia="zh-CN"/>
        </w:rPr>
        <w:t>546.65</w:t>
      </w:r>
      <w:r>
        <w:rPr>
          <w:rFonts w:hint="eastAsia" w:ascii="仿宋_GB2312"/>
          <w:szCs w:val="32"/>
        </w:rPr>
        <w:t>万元，较上年增长</w:t>
      </w:r>
      <w:r>
        <w:rPr>
          <w:rFonts w:hint="eastAsia" w:ascii="仿宋_GB2312"/>
          <w:szCs w:val="32"/>
          <w:lang w:val="en-US" w:eastAsia="zh-CN"/>
        </w:rPr>
        <w:t>5.57</w:t>
      </w:r>
      <w:r>
        <w:rPr>
          <w:rFonts w:hint="eastAsia" w:ascii="仿宋_GB2312"/>
          <w:szCs w:val="32"/>
        </w:rPr>
        <w:t>%，主要原因是</w:t>
      </w:r>
      <w:r>
        <w:rPr>
          <w:rFonts w:hint="eastAsia" w:ascii="仿宋_GB2312"/>
          <w:szCs w:val="32"/>
          <w:lang w:eastAsia="zh-CN"/>
        </w:rPr>
        <w:t>人员增加，总收入支出增加</w:t>
      </w:r>
      <w:r>
        <w:rPr>
          <w:rFonts w:hint="eastAsia" w:ascii="仿宋_GB2312"/>
          <w:szCs w:val="32"/>
        </w:rPr>
        <w:t>。主要包括：</w:t>
      </w:r>
      <w:r>
        <w:rPr>
          <w:rFonts w:hint="eastAsia" w:ascii="仿宋_GB2312"/>
          <w:szCs w:val="32"/>
          <w:lang w:eastAsia="zh-CN"/>
        </w:rPr>
        <w:t>一般公共预算拨款</w:t>
      </w:r>
      <w:r>
        <w:rPr>
          <w:rFonts w:hint="eastAsia" w:ascii="仿宋_GB2312"/>
          <w:szCs w:val="32"/>
          <w:lang w:val="en-US" w:eastAsia="zh-CN"/>
        </w:rPr>
        <w:t>546.65万元</w:t>
      </w:r>
      <w:r>
        <w:rPr>
          <w:rFonts w:hint="eastAsia" w:ascii="仿宋_GB2312" w:hAnsi="宋体"/>
          <w:szCs w:val="32"/>
        </w:rPr>
        <w:t>。</w:t>
      </w:r>
    </w:p>
    <w:p>
      <w:pPr>
        <w:tabs>
          <w:tab w:val="center" w:pos="4475"/>
        </w:tabs>
        <w:spacing w:line="560" w:lineRule="exact"/>
        <w:ind w:firstLine="645"/>
        <w:rPr>
          <w:rFonts w:ascii="黑体" w:eastAsia="黑体"/>
          <w:szCs w:val="32"/>
        </w:rPr>
      </w:pPr>
      <w:r>
        <w:rPr>
          <w:rFonts w:hint="eastAsia" w:ascii="黑体" w:eastAsia="黑体"/>
          <w:szCs w:val="32"/>
        </w:rPr>
        <w:t>四、财政拨款收支总体情况说明</w:t>
      </w:r>
    </w:p>
    <w:p>
      <w:pPr>
        <w:tabs>
          <w:tab w:val="center" w:pos="4475"/>
        </w:tabs>
        <w:spacing w:line="560" w:lineRule="exact"/>
        <w:ind w:firstLine="645"/>
        <w:rPr>
          <w:rFonts w:ascii="仿宋_GB2312"/>
          <w:szCs w:val="32"/>
        </w:rPr>
      </w:pPr>
      <w:r>
        <w:rPr>
          <w:rFonts w:hint="eastAsia" w:ascii="仿宋_GB2312" w:hAnsi="宋体"/>
          <w:szCs w:val="32"/>
        </w:rPr>
        <w:t>我部门</w:t>
      </w:r>
      <w:r>
        <w:rPr>
          <w:rFonts w:hint="eastAsia" w:ascii="仿宋_GB2312"/>
          <w:szCs w:val="32"/>
        </w:rPr>
        <w:t>财政拨款总收入</w:t>
      </w:r>
      <w:r>
        <w:rPr>
          <w:rFonts w:hint="eastAsia" w:ascii="仿宋_GB2312"/>
          <w:szCs w:val="32"/>
          <w:lang w:val="en-US" w:eastAsia="zh-CN"/>
        </w:rPr>
        <w:t>546.65</w:t>
      </w:r>
      <w:r>
        <w:rPr>
          <w:rFonts w:hint="eastAsia" w:ascii="仿宋_GB2312"/>
          <w:szCs w:val="32"/>
        </w:rPr>
        <w:t>万元，总支出</w:t>
      </w:r>
      <w:r>
        <w:rPr>
          <w:rFonts w:hint="eastAsia" w:ascii="仿宋_GB2312"/>
          <w:szCs w:val="32"/>
          <w:lang w:val="en-US" w:eastAsia="zh-CN"/>
        </w:rPr>
        <w:t>546.65</w:t>
      </w:r>
      <w:r>
        <w:rPr>
          <w:rFonts w:hint="eastAsia" w:ascii="仿宋_GB2312"/>
          <w:szCs w:val="32"/>
        </w:rPr>
        <w:t>万元（不含财政拨款上年未列支结转收支数）。财政拨款总收入较上年增长</w:t>
      </w:r>
      <w:r>
        <w:rPr>
          <w:rFonts w:hint="eastAsia" w:ascii="仿宋_GB2312"/>
          <w:szCs w:val="32"/>
          <w:lang w:val="en-US" w:eastAsia="zh-CN"/>
        </w:rPr>
        <w:t>5.57</w:t>
      </w:r>
      <w:r>
        <w:rPr>
          <w:rFonts w:hint="eastAsia" w:ascii="仿宋_GB2312"/>
          <w:szCs w:val="32"/>
        </w:rPr>
        <w:t>%，主要原因是</w:t>
      </w:r>
      <w:r>
        <w:rPr>
          <w:rFonts w:hint="eastAsia" w:ascii="仿宋_GB2312"/>
          <w:szCs w:val="32"/>
          <w:lang w:eastAsia="zh-CN"/>
        </w:rPr>
        <w:t>人员增加收入支出增加</w:t>
      </w:r>
      <w:r>
        <w:rPr>
          <w:rFonts w:hint="eastAsia" w:ascii="仿宋_GB2312"/>
          <w:szCs w:val="32"/>
        </w:rPr>
        <w:t>。财政拨款总支出较上年增长</w:t>
      </w:r>
      <w:r>
        <w:rPr>
          <w:rFonts w:hint="eastAsia" w:ascii="仿宋_GB2312"/>
          <w:szCs w:val="32"/>
          <w:lang w:val="en-US" w:eastAsia="zh-CN"/>
        </w:rPr>
        <w:t>5.57</w:t>
      </w:r>
      <w:r>
        <w:rPr>
          <w:rFonts w:hint="eastAsia" w:ascii="仿宋_GB2312"/>
          <w:szCs w:val="32"/>
        </w:rPr>
        <w:t>%，主要原因是</w:t>
      </w:r>
      <w:r>
        <w:rPr>
          <w:rFonts w:hint="eastAsia" w:ascii="仿宋_GB2312"/>
          <w:szCs w:val="32"/>
          <w:lang w:eastAsia="zh-CN"/>
        </w:rPr>
        <w:t>人员增加收入支出增加</w:t>
      </w:r>
      <w:r>
        <w:rPr>
          <w:rFonts w:hint="eastAsia" w:ascii="仿宋_GB2312"/>
          <w:szCs w:val="32"/>
        </w:rPr>
        <w:t>。</w:t>
      </w:r>
    </w:p>
    <w:p>
      <w:pPr>
        <w:tabs>
          <w:tab w:val="center" w:pos="4475"/>
        </w:tabs>
        <w:spacing w:line="560" w:lineRule="exact"/>
        <w:ind w:firstLine="645"/>
        <w:rPr>
          <w:rFonts w:ascii="仿宋_GB2312" w:hAnsi="宋体"/>
          <w:szCs w:val="32"/>
          <w:highlight w:val="yellow"/>
        </w:rPr>
      </w:pPr>
      <w:r>
        <w:rPr>
          <w:rFonts w:hint="eastAsia" w:ascii="黑体" w:eastAsia="黑体"/>
          <w:szCs w:val="32"/>
        </w:rPr>
        <w:t>五、一般公共预算支出情况说明</w:t>
      </w:r>
    </w:p>
    <w:p>
      <w:pPr>
        <w:tabs>
          <w:tab w:val="center" w:pos="4475"/>
        </w:tabs>
        <w:spacing w:line="560" w:lineRule="exact"/>
        <w:ind w:firstLine="645"/>
        <w:rPr>
          <w:rFonts w:hint="eastAsia" w:ascii="仿宋_GB2312"/>
          <w:szCs w:val="32"/>
        </w:rPr>
      </w:pPr>
      <w:r>
        <w:rPr>
          <w:rFonts w:hint="eastAsia" w:ascii="仿宋_GB2312"/>
          <w:szCs w:val="32"/>
        </w:rPr>
        <w:t>我部门一般公共预算支出共</w:t>
      </w:r>
      <w:r>
        <w:rPr>
          <w:rFonts w:hint="eastAsia" w:ascii="仿宋_GB2312"/>
          <w:szCs w:val="32"/>
          <w:lang w:val="en-US" w:eastAsia="zh-CN"/>
        </w:rPr>
        <w:t>546.65</w:t>
      </w:r>
      <w:r>
        <w:rPr>
          <w:rFonts w:hint="eastAsia" w:ascii="仿宋_GB2312"/>
          <w:szCs w:val="32"/>
        </w:rPr>
        <w:t>万元，较上年增长</w:t>
      </w:r>
      <w:r>
        <w:rPr>
          <w:rFonts w:hint="eastAsia" w:ascii="仿宋_GB2312"/>
          <w:szCs w:val="32"/>
          <w:lang w:val="en-US" w:eastAsia="zh-CN"/>
        </w:rPr>
        <w:t>5.57</w:t>
      </w:r>
      <w:r>
        <w:rPr>
          <w:rFonts w:hint="eastAsia" w:ascii="仿宋_GB2312"/>
          <w:szCs w:val="32"/>
        </w:rPr>
        <w:t>%，主要原因是</w:t>
      </w:r>
      <w:r>
        <w:rPr>
          <w:rFonts w:hint="eastAsia" w:ascii="仿宋_GB2312"/>
          <w:szCs w:val="32"/>
          <w:lang w:eastAsia="zh-CN"/>
        </w:rPr>
        <w:t>人员增加，收支增加</w:t>
      </w:r>
      <w:r>
        <w:rPr>
          <w:rFonts w:hint="eastAsia" w:ascii="仿宋_GB2312"/>
          <w:szCs w:val="32"/>
        </w:rPr>
        <w:t>。</w:t>
      </w:r>
    </w:p>
    <w:p>
      <w:pPr>
        <w:pStyle w:val="8"/>
        <w:ind w:firstLine="640" w:firstLineChars="200"/>
        <w:rPr>
          <w:rFonts w:ascii="仿宋_GB2312" w:hAnsi="宋体"/>
          <w:b/>
          <w:szCs w:val="32"/>
          <w:u w:val="single"/>
        </w:rPr>
      </w:pPr>
      <w:r>
        <w:rPr>
          <w:rFonts w:hint="eastAsia" w:ascii="仿宋_GB2312" w:hAnsi="Times New Roman" w:eastAsia="仿宋_GB2312" w:cs="Times New Roman"/>
          <w:color w:val="auto"/>
          <w:kern w:val="2"/>
          <w:sz w:val="32"/>
          <w:szCs w:val="32"/>
          <w:lang w:val="en-US" w:eastAsia="zh-CN" w:bidi="ar-SA"/>
        </w:rPr>
        <w:t>事业单位离退休22.51万元；事业单位基本养老保险缴费支出48.49万元；事业单位职业年金缴费支出24.25万元；残疾人就业2.3万元；事业单位医疗27.88万元；公务员医疗补助20.83万元；事业运行349.16万元；病虫害控制14.85万元；住房公积金36.37万元</w:t>
      </w:r>
    </w:p>
    <w:p>
      <w:pPr>
        <w:tabs>
          <w:tab w:val="center" w:pos="4475"/>
        </w:tabs>
        <w:spacing w:line="560" w:lineRule="exact"/>
        <w:ind w:firstLine="645"/>
        <w:rPr>
          <w:rFonts w:ascii="仿宋_GB2312" w:hAnsi="宋体"/>
          <w:szCs w:val="32"/>
          <w:highlight w:val="yellow"/>
        </w:rPr>
      </w:pPr>
      <w:r>
        <w:rPr>
          <w:rFonts w:hint="eastAsia" w:ascii="黑体" w:eastAsia="黑体"/>
          <w:szCs w:val="32"/>
        </w:rPr>
        <w:t>六、一般公共预算基本支出情况说明</w:t>
      </w:r>
    </w:p>
    <w:p>
      <w:pPr>
        <w:tabs>
          <w:tab w:val="center" w:pos="4475"/>
        </w:tabs>
        <w:spacing w:line="560" w:lineRule="exact"/>
        <w:ind w:firstLine="645"/>
        <w:rPr>
          <w:rFonts w:hint="eastAsia" w:ascii="仿宋_GB2312"/>
          <w:szCs w:val="32"/>
        </w:rPr>
      </w:pPr>
      <w:r>
        <w:rPr>
          <w:rFonts w:hint="eastAsia" w:ascii="仿宋_GB2312"/>
          <w:szCs w:val="32"/>
        </w:rPr>
        <w:t>我部门一般公共预算基本支出共</w:t>
      </w:r>
      <w:r>
        <w:rPr>
          <w:rFonts w:hint="eastAsia" w:ascii="仿宋_GB2312"/>
          <w:szCs w:val="32"/>
          <w:lang w:val="en-US" w:eastAsia="zh-CN"/>
        </w:rPr>
        <w:t>546.65</w:t>
      </w:r>
      <w:r>
        <w:rPr>
          <w:rFonts w:hint="eastAsia" w:ascii="仿宋_GB2312"/>
          <w:szCs w:val="32"/>
        </w:rPr>
        <w:t>万元，较上年增长</w:t>
      </w:r>
      <w:r>
        <w:rPr>
          <w:rFonts w:hint="eastAsia" w:ascii="仿宋_GB2312"/>
          <w:szCs w:val="32"/>
          <w:lang w:val="en-US" w:eastAsia="zh-CN"/>
        </w:rPr>
        <w:t>5.57</w:t>
      </w:r>
      <w:r>
        <w:rPr>
          <w:rFonts w:hint="eastAsia" w:ascii="仿宋_GB2312"/>
          <w:szCs w:val="32"/>
        </w:rPr>
        <w:t>%，主要原因是</w:t>
      </w:r>
      <w:r>
        <w:rPr>
          <w:rFonts w:hint="eastAsia" w:ascii="仿宋_GB2312"/>
          <w:szCs w:val="32"/>
          <w:lang w:eastAsia="zh-CN"/>
        </w:rPr>
        <w:t>人员增加收入支出增加</w:t>
      </w:r>
      <w:r>
        <w:rPr>
          <w:rFonts w:hint="eastAsia" w:ascii="仿宋_GB2312"/>
          <w:szCs w:val="32"/>
        </w:rPr>
        <w:t>。</w:t>
      </w:r>
    </w:p>
    <w:p>
      <w:pPr>
        <w:pStyle w:val="8"/>
        <w:rPr>
          <w:rFonts w:ascii="黑体" w:eastAsia="黑体"/>
          <w:szCs w:val="32"/>
          <w:u w:val="single"/>
        </w:rPr>
      </w:pPr>
      <w:r>
        <w:rPr>
          <w:rFonts w:hint="eastAsia" w:ascii="仿宋_GB2312" w:hAnsi="Times New Roman" w:eastAsia="仿宋_GB2312" w:cs="Times New Roman"/>
          <w:color w:val="auto"/>
          <w:kern w:val="2"/>
          <w:sz w:val="32"/>
          <w:szCs w:val="32"/>
          <w:lang w:val="en-US" w:eastAsia="zh-CN" w:bidi="ar-SA"/>
        </w:rPr>
        <w:t>事业单位离退休22.51万元；事业单位基本养老保险缴费支出48.49万元；事业单位职业年金缴费支出24.25万元；残疾人就业2.3万元；事业单位医疗27.88万元；公务员医疗补助20.83万元；事业运行349.16万元；病虫害控制14.85万元；住房公积金36.37万元</w:t>
      </w:r>
    </w:p>
    <w:p>
      <w:pPr>
        <w:tabs>
          <w:tab w:val="center" w:pos="4475"/>
        </w:tabs>
        <w:spacing w:line="560" w:lineRule="exact"/>
        <w:ind w:firstLine="645"/>
        <w:rPr>
          <w:rFonts w:ascii="仿宋_GB2312" w:hAnsi="宋体"/>
          <w:szCs w:val="32"/>
        </w:rPr>
      </w:pPr>
      <w:r>
        <w:rPr>
          <w:rFonts w:hint="eastAsia" w:ascii="黑体" w:eastAsia="黑体"/>
          <w:szCs w:val="32"/>
        </w:rPr>
        <w:t>七、一般公共预算“三公”经费支出情况说明</w:t>
      </w:r>
    </w:p>
    <w:p>
      <w:pPr>
        <w:tabs>
          <w:tab w:val="center" w:pos="4475"/>
        </w:tabs>
        <w:spacing w:line="560" w:lineRule="exact"/>
        <w:ind w:firstLine="645"/>
        <w:rPr>
          <w:rFonts w:ascii="仿宋_GB2312" w:hAnsi="宋体"/>
          <w:szCs w:val="32"/>
        </w:rPr>
      </w:pPr>
      <w:r>
        <w:rPr>
          <w:rFonts w:hint="eastAsia" w:ascii="仿宋_GB2312" w:hAnsi="宋体"/>
          <w:szCs w:val="32"/>
        </w:rPr>
        <w:t>我部门</w:t>
      </w:r>
      <w:r>
        <w:rPr>
          <w:rFonts w:hint="eastAsia" w:ascii="仿宋_GB2312"/>
        </w:rPr>
        <w:t>2024年一般公共预算</w:t>
      </w:r>
      <w:r>
        <w:rPr>
          <w:rFonts w:hint="eastAsia" w:ascii="仿宋_GB2312"/>
          <w:bCs/>
        </w:rPr>
        <w:t>安排的“三公”经费支出预算</w:t>
      </w:r>
      <w:r>
        <w:rPr>
          <w:rFonts w:hint="eastAsia" w:ascii="仿宋_GB2312"/>
          <w:bCs/>
          <w:lang w:val="en-US" w:eastAsia="zh-CN"/>
        </w:rPr>
        <w:t>5.75</w:t>
      </w:r>
      <w:r>
        <w:rPr>
          <w:rFonts w:hint="eastAsia" w:ascii="仿宋_GB2312"/>
          <w:bCs/>
        </w:rPr>
        <w:t>万元，同口径比2023年减少</w:t>
      </w:r>
      <w:r>
        <w:rPr>
          <w:rFonts w:hint="eastAsia" w:ascii="仿宋_GB2312"/>
          <w:bCs/>
          <w:lang w:val="en-US" w:eastAsia="zh-CN"/>
        </w:rPr>
        <w:t>2.15</w:t>
      </w:r>
      <w:r>
        <w:rPr>
          <w:rFonts w:hint="eastAsia" w:ascii="仿宋_GB2312"/>
          <w:bCs/>
        </w:rPr>
        <w:t>万元，下降</w:t>
      </w:r>
      <w:r>
        <w:rPr>
          <w:rFonts w:hint="eastAsia" w:ascii="仿宋_GB2312"/>
          <w:bCs/>
          <w:lang w:val="en-US" w:eastAsia="zh-CN"/>
        </w:rPr>
        <w:t>27.21</w:t>
      </w:r>
      <w:r>
        <w:rPr>
          <w:rFonts w:hint="eastAsia" w:ascii="仿宋_GB2312"/>
          <w:bCs/>
        </w:rPr>
        <w:t>%，具体如下：</w:t>
      </w:r>
    </w:p>
    <w:p>
      <w:pPr>
        <w:tabs>
          <w:tab w:val="center" w:pos="4475"/>
        </w:tabs>
        <w:spacing w:line="560" w:lineRule="exact"/>
        <w:ind w:firstLine="645"/>
        <w:rPr>
          <w:rFonts w:ascii="仿宋_GB2312" w:hAnsi="Arial" w:cs="Arial"/>
          <w:kern w:val="0"/>
        </w:rPr>
      </w:pPr>
      <w:r>
        <w:rPr>
          <w:rFonts w:hint="eastAsia" w:ascii="仿宋_GB2312"/>
        </w:rPr>
        <w:t>1.因公出国（境）费</w:t>
      </w:r>
      <w:r>
        <w:rPr>
          <w:rFonts w:hint="eastAsia" w:ascii="仿宋_GB2312" w:hAnsi="宋体"/>
          <w:szCs w:val="32"/>
        </w:rPr>
        <w:t>2024年预算安排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tabs>
          <w:tab w:val="center" w:pos="4475"/>
        </w:tabs>
        <w:spacing w:line="560" w:lineRule="exact"/>
        <w:ind w:firstLine="645"/>
        <w:rPr>
          <w:rFonts w:ascii="仿宋_GB2312" w:hAnsi="Arial" w:cs="Arial"/>
          <w:kern w:val="0"/>
        </w:rPr>
      </w:pPr>
      <w:r>
        <w:rPr>
          <w:rFonts w:hint="eastAsia" w:ascii="仿宋_GB2312"/>
        </w:rPr>
        <w:t>2.公务接待费</w:t>
      </w:r>
      <w:r>
        <w:rPr>
          <w:rFonts w:hint="eastAsia" w:ascii="仿宋_GB2312" w:hAnsi="宋体"/>
          <w:szCs w:val="32"/>
        </w:rPr>
        <w:t>2024年预算安排</w:t>
      </w:r>
      <w:r>
        <w:rPr>
          <w:rFonts w:hint="eastAsia" w:ascii="仿宋_GB2312" w:hAnsi="宋体"/>
          <w:szCs w:val="32"/>
          <w:lang w:val="en-US" w:eastAsia="zh-CN"/>
        </w:rPr>
        <w:t>0.31</w:t>
      </w:r>
      <w:r>
        <w:rPr>
          <w:rFonts w:hint="eastAsia" w:ascii="仿宋_GB2312" w:hAnsi="宋体"/>
          <w:szCs w:val="32"/>
        </w:rPr>
        <w:t>万元，比上年减少</w:t>
      </w:r>
      <w:r>
        <w:rPr>
          <w:rFonts w:hint="eastAsia" w:ascii="仿宋_GB2312" w:hAnsi="宋体"/>
          <w:szCs w:val="32"/>
          <w:lang w:val="en-US" w:eastAsia="zh-CN"/>
        </w:rPr>
        <w:t>0.05</w:t>
      </w:r>
      <w:r>
        <w:rPr>
          <w:rFonts w:hint="eastAsia" w:ascii="仿宋_GB2312" w:hAnsi="宋体"/>
          <w:szCs w:val="32"/>
        </w:rPr>
        <w:t>万元，下降</w:t>
      </w:r>
      <w:r>
        <w:rPr>
          <w:rFonts w:hint="eastAsia" w:ascii="仿宋_GB2312" w:hAnsi="宋体"/>
          <w:szCs w:val="32"/>
          <w:lang w:val="en-US" w:eastAsia="zh-CN"/>
        </w:rPr>
        <w:t>13.98</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eastAsia="zh-CN"/>
        </w:rPr>
        <w:t>按过紧日子的相关文件要求，节约开支</w:t>
      </w:r>
      <w:r>
        <w:rPr>
          <w:rFonts w:hint="eastAsia" w:ascii="仿宋_GB2312" w:hAnsi="Arial" w:cs="Arial"/>
          <w:kern w:val="0"/>
        </w:rPr>
        <w:t>。</w:t>
      </w:r>
    </w:p>
    <w:p>
      <w:pPr>
        <w:tabs>
          <w:tab w:val="center" w:pos="4475"/>
        </w:tabs>
        <w:spacing w:line="560" w:lineRule="exact"/>
        <w:ind w:firstLine="645"/>
        <w:rPr>
          <w:rFonts w:ascii="仿宋_GB2312" w:hAnsi="宋体"/>
          <w:szCs w:val="32"/>
        </w:rPr>
      </w:pPr>
      <w:r>
        <w:rPr>
          <w:rFonts w:hint="eastAsia" w:ascii="仿宋_GB2312"/>
        </w:rPr>
        <w:t>3.公务用车购置及运行费</w:t>
      </w:r>
      <w:r>
        <w:rPr>
          <w:rFonts w:hint="eastAsia" w:ascii="仿宋_GB2312" w:hAnsi="宋体"/>
          <w:szCs w:val="32"/>
        </w:rPr>
        <w:t>2024年预算安排</w:t>
      </w:r>
      <w:r>
        <w:rPr>
          <w:rFonts w:hint="eastAsia" w:ascii="仿宋_GB2312" w:hAnsi="宋体"/>
          <w:szCs w:val="32"/>
          <w:lang w:val="en-US" w:eastAsia="zh-CN"/>
        </w:rPr>
        <w:t>4.68</w:t>
      </w:r>
      <w:r>
        <w:rPr>
          <w:rFonts w:hint="eastAsia" w:ascii="仿宋_GB2312" w:hAnsi="宋体"/>
          <w:szCs w:val="32"/>
        </w:rPr>
        <w:t>万元，比上年减少</w:t>
      </w:r>
      <w:r>
        <w:rPr>
          <w:rFonts w:hint="eastAsia" w:ascii="仿宋_GB2312" w:hAnsi="宋体"/>
          <w:szCs w:val="32"/>
          <w:lang w:val="en-US" w:eastAsia="zh-CN"/>
        </w:rPr>
        <w:t>1.17</w:t>
      </w:r>
      <w:r>
        <w:rPr>
          <w:rFonts w:hint="eastAsia" w:ascii="仿宋_GB2312" w:hAnsi="宋体"/>
          <w:szCs w:val="32"/>
        </w:rPr>
        <w:t>万元，下降</w:t>
      </w:r>
      <w:r>
        <w:rPr>
          <w:rFonts w:hint="eastAsia" w:ascii="仿宋_GB2312" w:hAnsi="宋体"/>
          <w:szCs w:val="32"/>
          <w:lang w:val="en-US" w:eastAsia="zh-CN"/>
        </w:rPr>
        <w:t>20</w:t>
      </w:r>
      <w:r>
        <w:rPr>
          <w:rFonts w:hint="eastAsia" w:ascii="仿宋_GB2312" w:hAnsi="宋体"/>
          <w:szCs w:val="32"/>
        </w:rPr>
        <w:t>%，其中：</w:t>
      </w:r>
    </w:p>
    <w:p>
      <w:pPr>
        <w:tabs>
          <w:tab w:val="center" w:pos="4475"/>
        </w:tabs>
        <w:spacing w:line="560" w:lineRule="exact"/>
        <w:ind w:firstLine="645"/>
        <w:rPr>
          <w:rFonts w:ascii="仿宋_GB2312" w:hAnsi="Arial" w:cs="Arial"/>
          <w:kern w:val="0"/>
        </w:rPr>
      </w:pPr>
      <w:r>
        <w:rPr>
          <w:rFonts w:hint="eastAsia" w:ascii="仿宋_GB2312" w:hAnsi="宋体"/>
          <w:szCs w:val="32"/>
        </w:rPr>
        <w:t>公务用车购置费2024年预算安排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tabs>
          <w:tab w:val="center" w:pos="4475"/>
        </w:tabs>
        <w:spacing w:line="560" w:lineRule="exact"/>
        <w:ind w:firstLine="645"/>
        <w:rPr>
          <w:rFonts w:ascii="仿宋_GB2312" w:hAnsi="宋体"/>
          <w:szCs w:val="32"/>
        </w:rPr>
      </w:pPr>
      <w:r>
        <w:rPr>
          <w:rFonts w:hint="eastAsia" w:ascii="仿宋_GB2312" w:hAnsi="宋体"/>
          <w:szCs w:val="32"/>
        </w:rPr>
        <w:t>公务用车运行维护费2024年预算安排</w:t>
      </w:r>
      <w:r>
        <w:rPr>
          <w:rFonts w:hint="eastAsia" w:ascii="仿宋_GB2312" w:hAnsi="宋体"/>
          <w:szCs w:val="32"/>
          <w:lang w:val="en-US" w:eastAsia="zh-CN"/>
        </w:rPr>
        <w:t>4.68</w:t>
      </w:r>
      <w:r>
        <w:rPr>
          <w:rFonts w:hint="eastAsia" w:ascii="仿宋_GB2312" w:hAnsi="宋体"/>
          <w:szCs w:val="32"/>
        </w:rPr>
        <w:t>万元，比上年减少</w:t>
      </w:r>
      <w:r>
        <w:rPr>
          <w:rFonts w:hint="eastAsia" w:ascii="仿宋_GB2312" w:hAnsi="宋体"/>
          <w:szCs w:val="32"/>
          <w:lang w:val="en-US" w:eastAsia="zh-CN"/>
        </w:rPr>
        <w:t>1.17</w:t>
      </w:r>
      <w:r>
        <w:rPr>
          <w:rFonts w:hint="eastAsia" w:ascii="仿宋_GB2312" w:hAnsi="宋体"/>
          <w:szCs w:val="32"/>
        </w:rPr>
        <w:t>万元，下降</w:t>
      </w:r>
      <w:r>
        <w:rPr>
          <w:rFonts w:hint="eastAsia" w:ascii="仿宋_GB2312" w:hAnsi="宋体"/>
          <w:szCs w:val="32"/>
          <w:lang w:val="en-US" w:eastAsia="zh-CN"/>
        </w:rPr>
        <w:t>20</w:t>
      </w:r>
      <w:r>
        <w:rPr>
          <w:rFonts w:hint="eastAsia" w:ascii="仿宋_GB2312" w:hAnsi="宋体"/>
          <w:szCs w:val="32"/>
        </w:rPr>
        <w:t>%，</w:t>
      </w:r>
      <w:r>
        <w:rPr>
          <w:rFonts w:hint="eastAsia" w:ascii="仿宋_GB2312" w:hAnsi="Arial" w:cs="Arial"/>
          <w:kern w:val="0"/>
        </w:rPr>
        <w:t>减</w:t>
      </w:r>
      <w:r>
        <w:rPr>
          <w:rFonts w:hint="eastAsia" w:ascii="仿宋_GB2312" w:hAnsi="Arial" w:cs="Arial"/>
          <w:kern w:val="0"/>
          <w:lang w:eastAsia="zh-CN"/>
        </w:rPr>
        <w:t>少</w:t>
      </w:r>
      <w:r>
        <w:rPr>
          <w:rFonts w:hint="eastAsia" w:ascii="仿宋_GB2312" w:hAnsi="Arial" w:cs="Arial"/>
          <w:kern w:val="0"/>
        </w:rPr>
        <w:t>的主要原因是</w:t>
      </w:r>
      <w:r>
        <w:rPr>
          <w:rFonts w:hint="eastAsia" w:ascii="仿宋_GB2312" w:hAnsi="Arial" w:cs="Arial"/>
          <w:kern w:val="0"/>
          <w:lang w:eastAsia="zh-CN"/>
        </w:rPr>
        <w:t>按过紧日子的相关文件要求，节约开支</w:t>
      </w:r>
      <w:r>
        <w:rPr>
          <w:rFonts w:hint="eastAsia" w:ascii="仿宋_GB2312" w:hAnsi="Arial" w:cs="Arial"/>
          <w:kern w:val="0"/>
        </w:rPr>
        <w:t>。</w:t>
      </w:r>
    </w:p>
    <w:p>
      <w:pPr>
        <w:tabs>
          <w:tab w:val="center" w:pos="4475"/>
        </w:tabs>
        <w:spacing w:line="560" w:lineRule="exact"/>
        <w:ind w:firstLine="645"/>
        <w:rPr>
          <w:rFonts w:ascii="仿宋_GB2312" w:hAnsi="宋体"/>
          <w:szCs w:val="32"/>
          <w:u w:val="single"/>
        </w:rPr>
      </w:pPr>
      <w:r>
        <w:rPr>
          <w:rFonts w:hint="eastAsia" w:ascii="黑体" w:eastAsia="黑体"/>
          <w:szCs w:val="32"/>
        </w:rPr>
        <w:t>八、政府性基金预算支出情况说明</w:t>
      </w:r>
    </w:p>
    <w:p>
      <w:pPr>
        <w:tabs>
          <w:tab w:val="center" w:pos="4475"/>
        </w:tabs>
        <w:spacing w:line="560" w:lineRule="exact"/>
        <w:ind w:firstLine="645"/>
        <w:rPr>
          <w:rFonts w:ascii="黑体" w:eastAsia="黑体"/>
          <w:szCs w:val="32"/>
          <w:highlight w:val="yellow"/>
        </w:rPr>
      </w:pPr>
      <w:r>
        <w:rPr>
          <w:rFonts w:hint="eastAsia" w:ascii="仿宋_GB2312"/>
          <w:szCs w:val="32"/>
        </w:rPr>
        <w:t>我部门政府性基金预算支出共</w:t>
      </w:r>
      <w:r>
        <w:rPr>
          <w:rFonts w:hint="eastAsia" w:ascii="仿宋_GB2312"/>
          <w:szCs w:val="32"/>
          <w:lang w:val="en-US" w:eastAsia="zh-CN"/>
        </w:rPr>
        <w:t>0</w:t>
      </w:r>
      <w:r>
        <w:rPr>
          <w:rFonts w:hint="eastAsia" w:ascii="仿宋_GB2312"/>
          <w:szCs w:val="32"/>
        </w:rPr>
        <w:t>万元，较上年减少</w:t>
      </w:r>
      <w:r>
        <w:rPr>
          <w:rFonts w:hint="eastAsia" w:ascii="仿宋_GB2312"/>
          <w:szCs w:val="32"/>
          <w:lang w:val="en-US" w:eastAsia="zh-CN"/>
        </w:rPr>
        <w:t>100</w:t>
      </w:r>
      <w:r>
        <w:rPr>
          <w:rFonts w:hint="eastAsia" w:ascii="仿宋_GB2312"/>
          <w:szCs w:val="32"/>
        </w:rPr>
        <w:t>%，主要原因是</w:t>
      </w:r>
      <w:r>
        <w:rPr>
          <w:rFonts w:hint="eastAsia" w:ascii="仿宋_GB2312"/>
          <w:szCs w:val="32"/>
          <w:lang w:eastAsia="zh-CN"/>
        </w:rPr>
        <w:t>预算有调整</w:t>
      </w:r>
      <w:r>
        <w:rPr>
          <w:rFonts w:hint="eastAsia" w:ascii="仿宋_GB2312"/>
          <w:szCs w:val="32"/>
        </w:rPr>
        <w:t>。</w:t>
      </w:r>
    </w:p>
    <w:p>
      <w:pPr>
        <w:tabs>
          <w:tab w:val="center" w:pos="4475"/>
        </w:tabs>
        <w:spacing w:line="560" w:lineRule="exact"/>
        <w:ind w:firstLine="645"/>
        <w:rPr>
          <w:rFonts w:ascii="仿宋_GB2312" w:hAnsi="宋体"/>
          <w:szCs w:val="32"/>
          <w:u w:val="single"/>
        </w:rPr>
      </w:pPr>
      <w:r>
        <w:rPr>
          <w:rFonts w:hint="eastAsia" w:ascii="黑体" w:eastAsia="黑体"/>
          <w:szCs w:val="32"/>
        </w:rPr>
        <w:t>九、国有资本经营预算支出情况说明</w:t>
      </w:r>
    </w:p>
    <w:p>
      <w:pPr>
        <w:tabs>
          <w:tab w:val="center" w:pos="4475"/>
        </w:tabs>
        <w:spacing w:line="560" w:lineRule="exact"/>
        <w:ind w:firstLine="645"/>
        <w:rPr>
          <w:rFonts w:ascii="黑体" w:eastAsia="黑体"/>
          <w:szCs w:val="32"/>
        </w:rPr>
      </w:pPr>
      <w:r>
        <w:rPr>
          <w:rFonts w:hint="eastAsia" w:ascii="仿宋_GB2312"/>
          <w:szCs w:val="32"/>
        </w:rPr>
        <w:t>我部门国有资本经营预算支出共</w:t>
      </w:r>
      <w:r>
        <w:rPr>
          <w:rFonts w:hint="eastAsia" w:ascii="仿宋_GB2312"/>
          <w:szCs w:val="32"/>
          <w:lang w:val="en-US" w:eastAsia="zh-CN"/>
        </w:rPr>
        <w:t>0</w:t>
      </w:r>
      <w:r>
        <w:rPr>
          <w:rFonts w:hint="eastAsia" w:ascii="仿宋_GB2312"/>
          <w:szCs w:val="32"/>
        </w:rPr>
        <w:t>万元</w:t>
      </w:r>
      <w:bookmarkStart w:id="0" w:name="_GoBack"/>
      <w:bookmarkEnd w:id="0"/>
      <w:r>
        <w:rPr>
          <w:rFonts w:hint="eastAsia" w:ascii="仿宋_GB2312"/>
          <w:szCs w:val="32"/>
        </w:rPr>
        <w:t>，</w:t>
      </w:r>
      <w:r>
        <w:rPr>
          <w:rFonts w:hint="eastAsia" w:ascii="仿宋_GB2312"/>
          <w:szCs w:val="32"/>
          <w:lang w:eastAsia="zh-CN"/>
        </w:rPr>
        <w:t>与上年持平</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十、其他重要事项情况说明</w:t>
      </w:r>
    </w:p>
    <w:p>
      <w:pPr>
        <w:tabs>
          <w:tab w:val="center" w:pos="4475"/>
        </w:tabs>
        <w:spacing w:line="560" w:lineRule="exact"/>
        <w:ind w:firstLine="645"/>
        <w:rPr>
          <w:rFonts w:hint="eastAsia" w:ascii="仿宋_GB2312" w:hAnsi="宋体"/>
          <w:b/>
          <w:bCs/>
          <w:szCs w:val="32"/>
          <w:u w:val="single"/>
          <w:lang w:val="en-US" w:eastAsia="zh-CN"/>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事业单位</w:t>
      </w:r>
      <w:r>
        <w:rPr>
          <w:rFonts w:hint="eastAsia" w:ascii="楷体_GB2312" w:hAnsi="楷体_GB2312" w:eastAsia="楷体_GB2312" w:cs="楷体_GB2312"/>
          <w:szCs w:val="32"/>
        </w:rPr>
        <w:t>运行经费安排情况说明</w:t>
      </w:r>
    </w:p>
    <w:p>
      <w:pPr>
        <w:pStyle w:val="8"/>
        <w:rPr>
          <w:rFonts w:hint="default" w:ascii="仿宋_GB2312" w:hAnsi="Times New Roman" w:eastAsia="仿宋_GB2312" w:cs="Times New Roman"/>
          <w:color w:val="auto"/>
          <w:kern w:val="2"/>
          <w:sz w:val="32"/>
          <w:szCs w:val="32"/>
          <w:lang w:val="en-US" w:eastAsia="zh-CN" w:bidi="ar-SA"/>
        </w:rPr>
      </w:pPr>
      <w:r>
        <w:rPr>
          <w:rFonts w:hint="default" w:ascii="仿宋_GB2312" w:hAnsi="Times New Roman" w:eastAsia="仿宋_GB2312" w:cs="Times New Roman"/>
          <w:color w:val="auto"/>
          <w:kern w:val="2"/>
          <w:sz w:val="32"/>
          <w:szCs w:val="32"/>
          <w:lang w:val="en-US" w:eastAsia="zh-CN" w:bidi="ar-SA"/>
        </w:rPr>
        <w:t>办公费2.09</w:t>
      </w:r>
      <w:r>
        <w:rPr>
          <w:rFonts w:hint="eastAsia" w:ascii="仿宋_GB2312" w:hAnsi="Times New Roman" w:eastAsia="仿宋_GB2312" w:cs="Times New Roman"/>
          <w:color w:val="auto"/>
          <w:kern w:val="2"/>
          <w:sz w:val="32"/>
          <w:szCs w:val="32"/>
          <w:lang w:val="en-US" w:eastAsia="zh-CN" w:bidi="ar-SA"/>
        </w:rPr>
        <w:t>万元；</w:t>
      </w:r>
      <w:r>
        <w:rPr>
          <w:rFonts w:hint="default" w:ascii="仿宋_GB2312" w:hAnsi="Times New Roman" w:eastAsia="仿宋_GB2312" w:cs="Times New Roman"/>
          <w:color w:val="auto"/>
          <w:kern w:val="2"/>
          <w:sz w:val="32"/>
          <w:szCs w:val="32"/>
          <w:lang w:val="en-US" w:eastAsia="zh-CN" w:bidi="ar-SA"/>
        </w:rPr>
        <w:t>印刷费0.42</w:t>
      </w:r>
      <w:r>
        <w:rPr>
          <w:rFonts w:hint="eastAsia" w:ascii="仿宋_GB2312" w:hAnsi="Times New Roman" w:eastAsia="仿宋_GB2312" w:cs="Times New Roman"/>
          <w:color w:val="auto"/>
          <w:kern w:val="2"/>
          <w:sz w:val="32"/>
          <w:szCs w:val="32"/>
          <w:lang w:val="en-US" w:eastAsia="zh-CN" w:bidi="ar-SA"/>
        </w:rPr>
        <w:t>万元；</w:t>
      </w:r>
      <w:r>
        <w:rPr>
          <w:rFonts w:hint="default" w:ascii="仿宋_GB2312" w:hAnsi="Times New Roman" w:eastAsia="仿宋_GB2312" w:cs="Times New Roman"/>
          <w:color w:val="auto"/>
          <w:kern w:val="2"/>
          <w:sz w:val="32"/>
          <w:szCs w:val="32"/>
          <w:lang w:val="en-US" w:eastAsia="zh-CN" w:bidi="ar-SA"/>
        </w:rPr>
        <w:t>水费0.45</w:t>
      </w:r>
      <w:r>
        <w:rPr>
          <w:rFonts w:hint="eastAsia" w:ascii="仿宋_GB2312" w:hAnsi="Times New Roman" w:eastAsia="仿宋_GB2312" w:cs="Times New Roman"/>
          <w:color w:val="auto"/>
          <w:kern w:val="2"/>
          <w:sz w:val="32"/>
          <w:szCs w:val="32"/>
          <w:lang w:val="en-US" w:eastAsia="zh-CN" w:bidi="ar-SA"/>
        </w:rPr>
        <w:t>万元；</w:t>
      </w:r>
      <w:r>
        <w:rPr>
          <w:rFonts w:hint="default" w:ascii="仿宋_GB2312" w:hAnsi="Times New Roman" w:eastAsia="仿宋_GB2312" w:cs="Times New Roman"/>
          <w:color w:val="auto"/>
          <w:kern w:val="2"/>
          <w:sz w:val="32"/>
          <w:szCs w:val="32"/>
          <w:lang w:val="en-US" w:eastAsia="zh-CN" w:bidi="ar-SA"/>
        </w:rPr>
        <w:t>电费2.04</w:t>
      </w:r>
      <w:r>
        <w:rPr>
          <w:rFonts w:hint="eastAsia" w:ascii="仿宋_GB2312" w:hAnsi="Times New Roman" w:eastAsia="仿宋_GB2312" w:cs="Times New Roman"/>
          <w:color w:val="auto"/>
          <w:kern w:val="2"/>
          <w:sz w:val="32"/>
          <w:szCs w:val="32"/>
          <w:lang w:val="en-US" w:eastAsia="zh-CN" w:bidi="ar-SA"/>
        </w:rPr>
        <w:t>万元；</w:t>
      </w:r>
      <w:r>
        <w:rPr>
          <w:rFonts w:hint="default" w:ascii="仿宋_GB2312" w:hAnsi="Times New Roman" w:eastAsia="仿宋_GB2312" w:cs="Times New Roman"/>
          <w:color w:val="auto"/>
          <w:kern w:val="2"/>
          <w:sz w:val="32"/>
          <w:szCs w:val="32"/>
          <w:lang w:val="en-US" w:eastAsia="zh-CN" w:bidi="ar-SA"/>
        </w:rPr>
        <w:t>邮电费0.85</w:t>
      </w:r>
      <w:r>
        <w:rPr>
          <w:rFonts w:hint="eastAsia" w:ascii="仿宋_GB2312" w:hAnsi="Times New Roman" w:eastAsia="仿宋_GB2312" w:cs="Times New Roman"/>
          <w:color w:val="auto"/>
          <w:kern w:val="2"/>
          <w:sz w:val="32"/>
          <w:szCs w:val="32"/>
          <w:lang w:val="en-US" w:eastAsia="zh-CN" w:bidi="ar-SA"/>
        </w:rPr>
        <w:t>万元；</w:t>
      </w:r>
      <w:r>
        <w:rPr>
          <w:rFonts w:hint="default" w:ascii="仿宋_GB2312" w:hAnsi="Times New Roman" w:eastAsia="仿宋_GB2312" w:cs="Times New Roman"/>
          <w:color w:val="auto"/>
          <w:kern w:val="2"/>
          <w:sz w:val="32"/>
          <w:szCs w:val="32"/>
          <w:lang w:val="en-US" w:eastAsia="zh-CN" w:bidi="ar-SA"/>
        </w:rPr>
        <w:t>差旅费8.68</w:t>
      </w:r>
      <w:r>
        <w:rPr>
          <w:rFonts w:hint="eastAsia" w:ascii="仿宋_GB2312" w:hAnsi="Times New Roman" w:eastAsia="仿宋_GB2312" w:cs="Times New Roman"/>
          <w:color w:val="auto"/>
          <w:kern w:val="2"/>
          <w:sz w:val="32"/>
          <w:szCs w:val="32"/>
          <w:lang w:val="en-US" w:eastAsia="zh-CN" w:bidi="ar-SA"/>
        </w:rPr>
        <w:t>万元；</w:t>
      </w:r>
      <w:r>
        <w:rPr>
          <w:rFonts w:hint="default" w:ascii="仿宋_GB2312" w:hAnsi="Times New Roman" w:eastAsia="仿宋_GB2312" w:cs="Times New Roman"/>
          <w:color w:val="auto"/>
          <w:kern w:val="2"/>
          <w:sz w:val="32"/>
          <w:szCs w:val="32"/>
          <w:lang w:val="en-US" w:eastAsia="zh-CN" w:bidi="ar-SA"/>
        </w:rPr>
        <w:t>维修（护）费0.56</w:t>
      </w:r>
      <w:r>
        <w:rPr>
          <w:rFonts w:hint="eastAsia" w:ascii="仿宋_GB2312" w:hAnsi="Times New Roman" w:eastAsia="仿宋_GB2312" w:cs="Times New Roman"/>
          <w:color w:val="auto"/>
          <w:kern w:val="2"/>
          <w:sz w:val="32"/>
          <w:szCs w:val="32"/>
          <w:lang w:val="en-US" w:eastAsia="zh-CN" w:bidi="ar-SA"/>
        </w:rPr>
        <w:t>万元；</w:t>
      </w:r>
      <w:r>
        <w:rPr>
          <w:rFonts w:hint="default" w:ascii="仿宋_GB2312" w:hAnsi="Times New Roman" w:eastAsia="仿宋_GB2312" w:cs="Times New Roman"/>
          <w:color w:val="auto"/>
          <w:kern w:val="2"/>
          <w:sz w:val="32"/>
          <w:szCs w:val="32"/>
          <w:lang w:val="en-US" w:eastAsia="zh-CN" w:bidi="ar-SA"/>
        </w:rPr>
        <w:t>会议费0.33</w:t>
      </w:r>
      <w:r>
        <w:rPr>
          <w:rFonts w:hint="eastAsia" w:ascii="仿宋_GB2312" w:hAnsi="Times New Roman" w:eastAsia="仿宋_GB2312" w:cs="Times New Roman"/>
          <w:color w:val="auto"/>
          <w:kern w:val="2"/>
          <w:sz w:val="32"/>
          <w:szCs w:val="32"/>
          <w:lang w:val="en-US" w:eastAsia="zh-CN" w:bidi="ar-SA"/>
        </w:rPr>
        <w:t>万元；</w:t>
      </w:r>
      <w:r>
        <w:rPr>
          <w:rFonts w:hint="default" w:ascii="仿宋_GB2312" w:hAnsi="Times New Roman" w:eastAsia="仿宋_GB2312" w:cs="Times New Roman"/>
          <w:color w:val="auto"/>
          <w:kern w:val="2"/>
          <w:sz w:val="32"/>
          <w:szCs w:val="32"/>
          <w:lang w:val="en-US" w:eastAsia="zh-CN" w:bidi="ar-SA"/>
        </w:rPr>
        <w:t>培训费0.43</w:t>
      </w:r>
      <w:r>
        <w:rPr>
          <w:rFonts w:hint="eastAsia" w:ascii="仿宋_GB2312" w:hAnsi="Times New Roman" w:eastAsia="仿宋_GB2312" w:cs="Times New Roman"/>
          <w:color w:val="auto"/>
          <w:kern w:val="2"/>
          <w:sz w:val="32"/>
          <w:szCs w:val="32"/>
          <w:lang w:val="en-US" w:eastAsia="zh-CN" w:bidi="ar-SA"/>
        </w:rPr>
        <w:t>万元；</w:t>
      </w:r>
      <w:r>
        <w:rPr>
          <w:rFonts w:hint="default" w:ascii="仿宋_GB2312" w:hAnsi="Times New Roman" w:eastAsia="仿宋_GB2312" w:cs="Times New Roman"/>
          <w:color w:val="auto"/>
          <w:kern w:val="2"/>
          <w:sz w:val="32"/>
          <w:szCs w:val="32"/>
          <w:lang w:val="en-US" w:eastAsia="zh-CN" w:bidi="ar-SA"/>
        </w:rPr>
        <w:t>公务接待费0.31</w:t>
      </w:r>
      <w:r>
        <w:rPr>
          <w:rFonts w:hint="eastAsia" w:ascii="仿宋_GB2312" w:hAnsi="Times New Roman" w:eastAsia="仿宋_GB2312" w:cs="Times New Roman"/>
          <w:color w:val="auto"/>
          <w:kern w:val="2"/>
          <w:sz w:val="32"/>
          <w:szCs w:val="32"/>
          <w:lang w:val="en-US" w:eastAsia="zh-CN" w:bidi="ar-SA"/>
        </w:rPr>
        <w:t>万元；</w:t>
      </w:r>
      <w:r>
        <w:rPr>
          <w:rFonts w:hint="default" w:ascii="仿宋_GB2312" w:hAnsi="Times New Roman" w:eastAsia="仿宋_GB2312" w:cs="Times New Roman"/>
          <w:color w:val="auto"/>
          <w:kern w:val="2"/>
          <w:sz w:val="32"/>
          <w:szCs w:val="32"/>
          <w:lang w:val="en-US" w:eastAsia="zh-CN" w:bidi="ar-SA"/>
        </w:rPr>
        <w:t>工会经费4.23</w:t>
      </w:r>
      <w:r>
        <w:rPr>
          <w:rFonts w:hint="eastAsia" w:ascii="仿宋_GB2312" w:hAnsi="Times New Roman" w:eastAsia="仿宋_GB2312" w:cs="Times New Roman"/>
          <w:color w:val="auto"/>
          <w:kern w:val="2"/>
          <w:sz w:val="32"/>
          <w:szCs w:val="32"/>
          <w:lang w:val="en-US" w:eastAsia="zh-CN" w:bidi="ar-SA"/>
        </w:rPr>
        <w:t>万元；</w:t>
      </w:r>
      <w:r>
        <w:rPr>
          <w:rFonts w:hint="default" w:ascii="仿宋_GB2312" w:hAnsi="Times New Roman" w:eastAsia="仿宋_GB2312" w:cs="Times New Roman"/>
          <w:color w:val="auto"/>
          <w:kern w:val="2"/>
          <w:sz w:val="32"/>
          <w:szCs w:val="32"/>
          <w:lang w:val="en-US" w:eastAsia="zh-CN" w:bidi="ar-SA"/>
        </w:rPr>
        <w:t>福利费0.57</w:t>
      </w:r>
      <w:r>
        <w:rPr>
          <w:rFonts w:hint="eastAsia" w:ascii="仿宋_GB2312" w:hAnsi="Times New Roman" w:eastAsia="仿宋_GB2312" w:cs="Times New Roman"/>
          <w:color w:val="auto"/>
          <w:kern w:val="2"/>
          <w:sz w:val="32"/>
          <w:szCs w:val="32"/>
          <w:lang w:val="en-US" w:eastAsia="zh-CN" w:bidi="ar-SA"/>
        </w:rPr>
        <w:t>万元；</w:t>
      </w:r>
      <w:r>
        <w:rPr>
          <w:rFonts w:hint="default" w:ascii="仿宋_GB2312" w:hAnsi="Times New Roman" w:eastAsia="仿宋_GB2312" w:cs="Times New Roman"/>
          <w:color w:val="auto"/>
          <w:kern w:val="2"/>
          <w:sz w:val="32"/>
          <w:szCs w:val="32"/>
          <w:lang w:val="en-US" w:eastAsia="zh-CN" w:bidi="ar-SA"/>
        </w:rPr>
        <w:t>公务用车运行维护费4.68</w:t>
      </w:r>
      <w:r>
        <w:rPr>
          <w:rFonts w:hint="eastAsia" w:ascii="仿宋_GB2312" w:hAnsi="Times New Roman" w:eastAsia="仿宋_GB2312" w:cs="Times New Roman"/>
          <w:color w:val="auto"/>
          <w:kern w:val="2"/>
          <w:sz w:val="32"/>
          <w:szCs w:val="32"/>
          <w:lang w:val="en-US" w:eastAsia="zh-CN" w:bidi="ar-SA"/>
        </w:rPr>
        <w:t>万元；</w:t>
      </w:r>
      <w:r>
        <w:rPr>
          <w:rFonts w:hint="default" w:ascii="仿宋_GB2312" w:hAnsi="Times New Roman" w:eastAsia="仿宋_GB2312" w:cs="Times New Roman"/>
          <w:color w:val="auto"/>
          <w:kern w:val="2"/>
          <w:sz w:val="32"/>
          <w:szCs w:val="32"/>
          <w:lang w:val="en-US" w:eastAsia="zh-CN" w:bidi="ar-SA"/>
        </w:rPr>
        <w:t>其他商品和服务支出15.79</w:t>
      </w:r>
      <w:r>
        <w:rPr>
          <w:rFonts w:hint="eastAsia" w:ascii="仿宋_GB2312" w:hAnsi="Times New Roman" w:eastAsia="仿宋_GB2312" w:cs="Times New Roman"/>
          <w:color w:val="auto"/>
          <w:kern w:val="2"/>
          <w:sz w:val="32"/>
          <w:szCs w:val="32"/>
          <w:lang w:val="en-US" w:eastAsia="zh-CN" w:bidi="ar-SA"/>
        </w:rPr>
        <w:t>万元</w:t>
      </w:r>
    </w:p>
    <w:p>
      <w:pPr>
        <w:tabs>
          <w:tab w:val="center" w:pos="4475"/>
        </w:tabs>
        <w:spacing w:line="560" w:lineRule="exact"/>
        <w:ind w:firstLine="645"/>
        <w:rPr>
          <w:rFonts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tabs>
          <w:tab w:val="center" w:pos="4475"/>
        </w:tabs>
        <w:spacing w:line="560" w:lineRule="exact"/>
        <w:ind w:firstLine="645"/>
        <w:rPr>
          <w:rFonts w:ascii="黑体" w:hAnsi="Arial" w:eastAsia="黑体" w:cs="Arial"/>
          <w:kern w:val="0"/>
        </w:rPr>
      </w:pPr>
      <w:r>
        <w:rPr>
          <w:rFonts w:hint="eastAsia" w:ascii="仿宋_GB2312" w:hAnsi="宋体"/>
          <w:szCs w:val="32"/>
        </w:rPr>
        <w:t>我部门2024年政府采购预算总金额</w:t>
      </w:r>
      <w:r>
        <w:rPr>
          <w:rFonts w:hint="eastAsia" w:ascii="仿宋_GB2312" w:hAnsi="宋体"/>
          <w:szCs w:val="32"/>
          <w:lang w:val="en-US" w:eastAsia="zh-CN"/>
        </w:rPr>
        <w:t>0</w:t>
      </w:r>
      <w:r>
        <w:rPr>
          <w:rFonts w:hint="eastAsia" w:ascii="仿宋_GB2312" w:hAnsi="宋体"/>
          <w:szCs w:val="32"/>
        </w:rPr>
        <w:t>万元</w:t>
      </w:r>
    </w:p>
    <w:p>
      <w:pPr>
        <w:tabs>
          <w:tab w:val="center" w:pos="4475"/>
        </w:tabs>
        <w:spacing w:line="560" w:lineRule="exact"/>
        <w:ind w:firstLine="645"/>
        <w:rPr>
          <w:rFonts w:hint="eastAsia" w:ascii="仿宋_GB2312" w:hAnsi="宋体"/>
          <w:b/>
          <w:bCs/>
          <w:szCs w:val="32"/>
          <w:u w:val="single"/>
        </w:rPr>
      </w:pPr>
      <w:r>
        <w:rPr>
          <w:rFonts w:hint="eastAsia" w:ascii="楷体_GB2312" w:hAnsi="楷体_GB2312" w:eastAsia="楷体_GB2312" w:cs="楷体_GB2312"/>
          <w:kern w:val="0"/>
        </w:rPr>
        <w:t>（三）国有资产占用情况说明</w:t>
      </w:r>
    </w:p>
    <w:p>
      <w:pPr>
        <w:tabs>
          <w:tab w:val="center" w:pos="4475"/>
        </w:tabs>
        <w:spacing w:line="560" w:lineRule="exact"/>
        <w:ind w:firstLine="645"/>
        <w:rPr>
          <w:rFonts w:hint="default" w:eastAsia="宋体"/>
          <w:lang w:val="en-US" w:eastAsia="zh-CN"/>
        </w:rPr>
      </w:pPr>
      <w:r>
        <w:rPr>
          <w:rFonts w:hint="eastAsia" w:ascii="仿宋_GB2312"/>
          <w:szCs w:val="32"/>
        </w:rPr>
        <w:t>202</w:t>
      </w:r>
      <w:r>
        <w:rPr>
          <w:rFonts w:hint="eastAsia" w:ascii="仿宋_GB2312"/>
          <w:szCs w:val="32"/>
          <w:lang w:val="en-US" w:eastAsia="zh-CN"/>
        </w:rPr>
        <w:t>3</w:t>
      </w:r>
      <w:r>
        <w:rPr>
          <w:rFonts w:hint="eastAsia" w:ascii="仿宋_GB2312"/>
          <w:szCs w:val="32"/>
        </w:rPr>
        <w:t>年度，我部门/单位固定资产期末账面数原值224.81万元，累计折旧194.00万元，净值30.81万元，其中：土地、房屋及构筑物14.67万元，占固定资产的47.61%（其中，房屋14.67万元，占固定资产的47.61%）；设备13.56万元，占44.01%（其中，车辆0.00万元，占0.00%，单价100万（含）以上（不含车辆）设备0.00万元，占0.00%）；文物和陈列品0.00万元，占0.00%；图书</w:t>
      </w:r>
      <w:r>
        <w:rPr>
          <w:rFonts w:hint="eastAsia" w:ascii="仿宋_GB2312"/>
          <w:szCs w:val="32"/>
          <w:lang w:val="en-US" w:eastAsia="zh-CN"/>
        </w:rPr>
        <w:t>和</w:t>
      </w:r>
      <w:r>
        <w:rPr>
          <w:rFonts w:hint="eastAsia" w:ascii="仿宋_GB2312"/>
          <w:szCs w:val="32"/>
        </w:rPr>
        <w:t>档案0.00万元，占0.00%；家具</w:t>
      </w:r>
      <w:r>
        <w:rPr>
          <w:rFonts w:hint="eastAsia" w:ascii="仿宋_GB2312"/>
          <w:szCs w:val="32"/>
          <w:lang w:val="en-US" w:eastAsia="zh-CN"/>
        </w:rPr>
        <w:t>和</w:t>
      </w:r>
      <w:r>
        <w:rPr>
          <w:rFonts w:hint="eastAsia" w:ascii="仿宋_GB2312"/>
          <w:szCs w:val="32"/>
        </w:rPr>
        <w:t>用具2.58万元，占8.39%;特种动植物0.00万元,占0.00%。</w:t>
      </w:r>
    </w:p>
    <w:p>
      <w:pPr>
        <w:tabs>
          <w:tab w:val="center" w:pos="4475"/>
        </w:tabs>
        <w:spacing w:line="560" w:lineRule="exact"/>
        <w:ind w:firstLine="645"/>
        <w:rPr>
          <w:rFonts w:hint="eastAsia" w:ascii="仿宋_GB2312" w:hAnsi="宋体" w:eastAsia="仿宋_GB2312"/>
          <w:szCs w:val="32"/>
          <w:lang w:eastAsia="zh-CN"/>
        </w:rPr>
      </w:pPr>
      <w:r>
        <w:rPr>
          <w:rFonts w:hint="eastAsia" w:ascii="楷体_GB2312" w:hAnsi="楷体_GB2312" w:eastAsia="楷体_GB2312" w:cs="楷体_GB2312"/>
          <w:szCs w:val="32"/>
        </w:rPr>
        <w:t>（四）预算绩效目标情况说明</w:t>
      </w:r>
    </w:p>
    <w:p>
      <w:pPr>
        <w:tabs>
          <w:tab w:val="center" w:pos="4475"/>
        </w:tabs>
        <w:spacing w:line="560" w:lineRule="exact"/>
        <w:ind w:firstLine="645"/>
        <w:rPr>
          <w:rFonts w:ascii="仿宋_GB2312"/>
          <w:szCs w:val="32"/>
        </w:rPr>
      </w:pPr>
      <w:r>
        <w:rPr>
          <w:rFonts w:hint="eastAsia" w:ascii="仿宋_GB2312"/>
          <w:szCs w:val="32"/>
        </w:rPr>
        <w:t>1.我部门2024年所有项目支出全面实施绩效目标管理，涉及</w:t>
      </w:r>
      <w:r>
        <w:rPr>
          <w:rFonts w:hint="eastAsia" w:ascii="仿宋_GB2312"/>
          <w:szCs w:val="32"/>
          <w:lang w:eastAsia="zh-CN"/>
        </w:rPr>
        <w:t>市</w:t>
      </w:r>
      <w:r>
        <w:rPr>
          <w:rFonts w:hint="eastAsia" w:ascii="仿宋_GB2312"/>
          <w:szCs w:val="32"/>
        </w:rPr>
        <w:t>本级项目个，预算资金</w:t>
      </w:r>
      <w:r>
        <w:rPr>
          <w:rFonts w:hint="eastAsia" w:ascii="仿宋_GB2312"/>
          <w:szCs w:val="32"/>
          <w:lang w:val="en-US" w:eastAsia="zh-CN"/>
        </w:rPr>
        <w:t>7.59</w:t>
      </w:r>
      <w:r>
        <w:rPr>
          <w:rFonts w:hint="eastAsia" w:ascii="仿宋_GB2312"/>
          <w:szCs w:val="32"/>
        </w:rPr>
        <w:t>万元。绩效目标情况详见报表（日常运转类项目、工资类人员经费项目和涉密项目等除外）。</w:t>
      </w:r>
    </w:p>
    <w:p>
      <w:pPr>
        <w:tabs>
          <w:tab w:val="center" w:pos="4475"/>
        </w:tabs>
        <w:spacing w:line="560" w:lineRule="exact"/>
        <w:ind w:firstLine="645"/>
        <w:rPr>
          <w:rFonts w:ascii="仿宋_GB2312"/>
          <w:szCs w:val="32"/>
        </w:rPr>
      </w:pPr>
      <w:r>
        <w:rPr>
          <w:rFonts w:hint="eastAsia" w:ascii="仿宋_GB2312"/>
          <w:szCs w:val="32"/>
        </w:rPr>
        <w:t>2.重点项目预算绩效目标说明。</w:t>
      </w:r>
    </w:p>
    <w:p>
      <w:pPr>
        <w:pStyle w:val="8"/>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重点项目一：项目名称动物疫病预防控制经费，预算资金7.59万元，2024年度绩效目标为通过对动物疫病监测诊断，向上级有关部门处置、处理动物</w:t>
      </w:r>
      <w:r>
        <w:rPr>
          <w:rFonts w:hint="eastAsia" w:ascii="仿宋_GB2312" w:hAnsi="宋体" w:eastAsia="仿宋_GB2312" w:cs="Times New Roman"/>
          <w:color w:val="auto"/>
          <w:kern w:val="2"/>
          <w:sz w:val="32"/>
          <w:szCs w:val="32"/>
          <w:lang w:val="en-US" w:eastAsia="zh-CN" w:bidi="ar-SA"/>
        </w:rPr>
        <w:t>疫病和动物疫情提供依据；为桂林市动物疫病预警预报提供准确的、科学的参数；通过对我市动物疫情的监测和流行病学调查，准确掌握我市动物疫病的流行动态，将检测结果及时录入中国兽医网广西水产畜牧产品安全监管预警系统和自治区动物疫病预防控制中心实验室管理系统，为我市各级政府防控重大动物疫病提供科学依据，促进畜牧业的发展。</w:t>
      </w:r>
    </w:p>
    <w:p>
      <w:pPr>
        <w:tabs>
          <w:tab w:val="center" w:pos="4475"/>
        </w:tabs>
        <w:spacing w:line="560" w:lineRule="exact"/>
        <w:ind w:firstLine="645"/>
        <w:rPr>
          <w:rFonts w:ascii="黑体" w:eastAsia="黑体"/>
          <w:szCs w:val="32"/>
        </w:rPr>
      </w:pP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条数量指标：数量指标</w:t>
      </w:r>
      <w:r>
        <w:rPr>
          <w:rFonts w:hint="eastAsia" w:ascii="仿宋_GB2312" w:hAnsi="宋体"/>
          <w:szCs w:val="32"/>
          <w:lang w:eastAsia="zh-CN"/>
        </w:rPr>
        <w:t>监测批次</w:t>
      </w:r>
      <w:r>
        <w:rPr>
          <w:rFonts w:hint="eastAsia" w:ascii="仿宋_GB2312" w:hAnsi="宋体"/>
          <w:szCs w:val="32"/>
          <w:lang w:val="en-US" w:eastAsia="zh-CN"/>
        </w:rPr>
        <w:t>20次</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条质量指标：质量指标</w:t>
      </w:r>
      <w:r>
        <w:rPr>
          <w:rFonts w:hint="eastAsia" w:ascii="仿宋_GB2312" w:hAnsi="宋体"/>
          <w:szCs w:val="32"/>
          <w:lang w:eastAsia="zh-CN"/>
        </w:rPr>
        <w:t>无重大数据结论差错</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条时效指标：时效指标</w:t>
      </w:r>
      <w:r>
        <w:rPr>
          <w:rFonts w:hint="eastAsia" w:ascii="仿宋_GB2312" w:hAnsi="宋体"/>
          <w:szCs w:val="32"/>
          <w:lang w:eastAsia="zh-CN"/>
        </w:rPr>
        <w:t>项目实施年度</w:t>
      </w:r>
      <w:r>
        <w:rPr>
          <w:rFonts w:hint="eastAsia" w:ascii="仿宋_GB2312" w:hAnsi="宋体"/>
          <w:szCs w:val="32"/>
          <w:lang w:val="en-US" w:eastAsia="zh-CN"/>
        </w:rPr>
        <w:t>2024年</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条成本指标</w:t>
      </w:r>
      <w:r>
        <w:rPr>
          <w:rFonts w:hint="eastAsia" w:ascii="仿宋_GB2312" w:hAnsi="宋体"/>
          <w:szCs w:val="32"/>
          <w:lang w:eastAsia="zh-CN"/>
        </w:rPr>
        <w:t>项目成本</w:t>
      </w:r>
      <w:r>
        <w:rPr>
          <w:rFonts w:hint="eastAsia" w:ascii="仿宋_GB2312" w:hAnsi="宋体"/>
          <w:szCs w:val="32"/>
          <w:lang w:val="en-US" w:eastAsia="zh-CN"/>
        </w:rPr>
        <w:t>7.59万元</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u w:val="none"/>
        </w:rPr>
        <w:t>社会效益指标</w:t>
      </w:r>
      <w:r>
        <w:rPr>
          <w:rFonts w:hint="eastAsia" w:ascii="仿宋_GB2312" w:hAnsi="宋体"/>
          <w:szCs w:val="32"/>
          <w:u w:val="none"/>
          <w:lang w:eastAsia="zh-CN"/>
        </w:rPr>
        <w:t>无重大区域性动物疫病风险，</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条满意度指标：</w:t>
      </w:r>
      <w:r>
        <w:rPr>
          <w:rFonts w:hint="eastAsia" w:ascii="仿宋_GB2312" w:hAnsi="宋体"/>
          <w:szCs w:val="32"/>
          <w:lang w:eastAsia="zh-CN"/>
        </w:rPr>
        <w:t>县区满意</w:t>
      </w:r>
      <w:r>
        <w:rPr>
          <w:rFonts w:hint="eastAsia" w:ascii="仿宋_GB2312" w:hAnsi="宋体"/>
          <w:szCs w:val="32"/>
        </w:rPr>
        <w:t>。</w:t>
      </w:r>
    </w:p>
    <w:p>
      <w:pPr>
        <w:tabs>
          <w:tab w:val="center" w:pos="4475"/>
        </w:tabs>
        <w:spacing w:line="560" w:lineRule="exact"/>
        <w:ind w:firstLine="645"/>
        <w:rPr>
          <w:rFonts w:ascii="黑体" w:eastAsia="黑体"/>
          <w:szCs w:val="32"/>
        </w:rPr>
      </w:pPr>
      <w:r>
        <w:rPr>
          <w:rFonts w:hint="eastAsia" w:ascii="黑体" w:eastAsia="黑体"/>
          <w:szCs w:val="32"/>
        </w:rPr>
        <w:t>第三部分：名词解释</w:t>
      </w:r>
    </w:p>
    <w:p>
      <w:pPr>
        <w:pStyle w:val="8"/>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一、 收入科目</w:t>
      </w:r>
    </w:p>
    <w:p>
      <w:pPr>
        <w:pStyle w:val="8"/>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(一)一般公共预算拨款收入:指中央财政当年拨付的资金。</w:t>
      </w:r>
    </w:p>
    <w:p>
      <w:pPr>
        <w:pStyle w:val="8"/>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(二)事业收入:指事业单位开展专业业务活动及辅助活动所取得的收入。</w:t>
      </w:r>
    </w:p>
    <w:p>
      <w:pPr>
        <w:pStyle w:val="8"/>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(三)事业单位经营收入:指事业单位在专业业务活动及辅助活动之外开展非独立核算经营活动取得的收入。</w:t>
      </w:r>
    </w:p>
    <w:p>
      <w:pPr>
        <w:pStyle w:val="8"/>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(四)其他收入:指除上述“一般公共预算拨款收入”、“事业收入”、“事业单位经营收入”、等以外的各项收入。主要包括非本级财政拨款、事业单位的投资收益等收入。</w:t>
      </w:r>
    </w:p>
    <w:p>
      <w:pPr>
        <w:pStyle w:val="8"/>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五)用事业基金弥补收支差额:指事业单位在预计用当年的“一般公共预算拨款收入”、“事业收入”、“事业单位经营收入”、“其他收入”不足以安排当年支出的情况下,使用以前年度积累的事业基金(事业单位当年收支相抵后按国家规定提取、用于弥补以后年度收支差额的基金)弥补本年度收支缺口的资金。</w:t>
      </w:r>
    </w:p>
    <w:p>
      <w:pPr>
        <w:pStyle w:val="8"/>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(六)上年结转:指以前年度尚未完成、结转到本年仍按原规定用途继续使用的资金。</w:t>
      </w:r>
    </w:p>
    <w:p>
      <w:pPr>
        <w:pStyle w:val="8"/>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二、 支出科目</w:t>
      </w:r>
    </w:p>
    <w:p>
      <w:pPr>
        <w:pStyle w:val="8"/>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(一)基本支出:指为保障单位机构正常运转、完成日常工作任务而发生的人员支出和公用支出。</w:t>
      </w:r>
    </w:p>
    <w:p>
      <w:pPr>
        <w:pStyle w:val="8"/>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(二)项目支出:指在基本支出之外为完成特定行政任务和 事业发展目标所发生的支出。</w:t>
      </w:r>
    </w:p>
    <w:p>
      <w:pPr>
        <w:pStyle w:val="8"/>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(三)事业单位经营支出:指事业单位在专业业务活动及辅助活动之外开展非独立核算经营活动发生的支出。</w:t>
      </w:r>
    </w:p>
    <w:p>
      <w:pPr>
        <w:pStyle w:val="8"/>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(四)社会保障和就业支出(类)行政事业单位离退休(款):指用于行政事业单位离退休方面的支出。</w:t>
      </w:r>
    </w:p>
    <w:p>
      <w:pPr>
        <w:pStyle w:val="8"/>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归口管理的行政单位离退休(项):反映实行归口管理的行政单位(包括实行公务员管理的事业单位)开支的离退休经费。</w:t>
      </w:r>
    </w:p>
    <w:p>
      <w:pPr>
        <w:pStyle w:val="8"/>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事业单位离退休(项):反映实行归口管理的事业单位开支的离退休经费。</w:t>
      </w:r>
    </w:p>
    <w:p>
      <w:pPr>
        <w:pStyle w:val="8"/>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离退休人员管理机构(项):反映实行归口管理的各类离退休人员管理机构的支出。</w:t>
      </w:r>
    </w:p>
    <w:p>
      <w:pPr>
        <w:pStyle w:val="8"/>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(五)医疗卫生与计划生育支出(类)医疗保障(款)城镇居民基本医疗保险(项):反映财政用于城镇居民基本医疗保险的支出。</w:t>
      </w:r>
    </w:p>
    <w:p>
      <w:pPr>
        <w:pStyle w:val="8"/>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(六)农林水支出(类)农业(款):指财政用于种植业、畜牧业、渔业、兽医、农机 农垦、农场、农业产业化经营组织、农村和垦区公益事业、农产品加工等方面的支出。</w:t>
      </w:r>
    </w:p>
    <w:p>
      <w:pPr>
        <w:pStyle w:val="8"/>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事业运行(项):反映用于农业事业单位基本支出,事业单位设施、系统运行与资产维护等方面的支出。</w:t>
      </w:r>
    </w:p>
    <w:p>
      <w:pPr>
        <w:pStyle w:val="8"/>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病虫害控制(项): 反映用于病虫鼠害及疫情监测、预报、 预防、控制、检疫、防疫所需的仪器、设施、药物、疫苗、种苗,疫畜(禽、鱼、植物)防治、扑杀补偿及劳务补助、菌(毒) 种保藏及动植物及其产品检疫、检测等方面的支出。</w:t>
      </w:r>
    </w:p>
    <w:p>
      <w:pPr>
        <w:pStyle w:val="8"/>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农产品质量安全(项):反映用于农业质量标准制定、实施和监督,投入品监管、残留监控,农产品质量认证、普查、标准化生产示范等方面的支出。</w:t>
      </w:r>
    </w:p>
    <w:p>
      <w:pPr>
        <w:rPr>
          <w:rFonts w:hint="eastAsia"/>
        </w:rPr>
      </w:pPr>
      <w:r>
        <w:rPr>
          <w:rFonts w:hint="eastAsia"/>
        </w:rPr>
        <w:t>(</w:t>
      </w:r>
      <w:r>
        <w:rPr>
          <w:rFonts w:hint="eastAsia"/>
          <w:lang w:eastAsia="zh-CN"/>
        </w:rPr>
        <w:t>七</w:t>
      </w:r>
      <w:r>
        <w:rPr>
          <w:rFonts w:hint="eastAsia"/>
        </w:rPr>
        <w:t>)住房保障支出(类)住房改革支出(款):指行政事业单位用财政拨款资金和其他资金等安排的住房改革支出,包括住房公积金、 提租补贴和购房补贴(指无房和未达标住房补贴)。</w:t>
      </w:r>
    </w:p>
    <w:p>
      <w:pPr>
        <w:ind w:firstLine="640" w:firstLineChars="200"/>
        <w:rPr>
          <w:rFonts w:hint="eastAsia"/>
        </w:rPr>
      </w:pPr>
      <w:r>
        <w:rPr>
          <w:rFonts w:hint="eastAsia"/>
        </w:rPr>
        <w:t>住房公积金(项):指按照《住房公积金管理条例》的规定,由单位及其在职职工缴存的长期住房储金。该项政策始于上世纪 九十年代中期,在全国机关、企事业单位在职职工中普遍实施,缴存比例最低不低于5% ,最高不超过12%,缴存基数为职工本人上年工资,目前已实施近 20 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pPr>
        <w:rPr>
          <w:rFonts w:hint="eastAsia"/>
        </w:rPr>
      </w:pPr>
      <w:r>
        <w:rPr>
          <w:rFonts w:hint="eastAsia"/>
        </w:rPr>
        <w:t>三、“三公”经费</w:t>
      </w:r>
    </w:p>
    <w:p>
      <w:pPr>
        <w:ind w:firstLine="640" w:firstLineChars="200"/>
      </w:pPr>
      <w:r>
        <w:rPr>
          <w:rFonts w:hint="eastAsia"/>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tabs>
          <w:tab w:val="center" w:pos="4475"/>
        </w:tabs>
        <w:spacing w:line="560" w:lineRule="exact"/>
        <w:ind w:firstLine="645"/>
        <w:rPr>
          <w:rFonts w:ascii="仿宋_GB2312" w:hAnsi="宋体"/>
          <w:szCs w:val="32"/>
          <w:u w:val="single"/>
        </w:rPr>
      </w:pPr>
      <w:r>
        <w:rPr>
          <w:rFonts w:hint="eastAsia" w:ascii="黑体" w:eastAsia="黑体"/>
          <w:szCs w:val="32"/>
        </w:rPr>
        <w:t>第四部分：</w:t>
      </w:r>
      <w:r>
        <w:rPr>
          <w:rFonts w:hint="eastAsia" w:ascii="黑体" w:eastAsia="黑体"/>
          <w:szCs w:val="32"/>
          <w:lang w:eastAsia="zh-CN"/>
        </w:rPr>
        <w:t>桂林市动物疫病预防控制中心</w:t>
      </w:r>
      <w:r>
        <w:rPr>
          <w:rFonts w:hint="eastAsia" w:ascii="黑体" w:hAnsi="宋体" w:eastAsia="黑体"/>
          <w:szCs w:val="32"/>
        </w:rPr>
        <w:t>2024年</w:t>
      </w:r>
      <w:r>
        <w:rPr>
          <w:rFonts w:hint="eastAsia" w:ascii="黑体" w:eastAsia="黑体"/>
          <w:szCs w:val="32"/>
        </w:rPr>
        <w:t>部门预算报表</w:t>
      </w:r>
    </w:p>
    <w:p>
      <w:pPr>
        <w:adjustRightInd w:val="0"/>
        <w:snapToGrid w:val="0"/>
        <w:spacing w:line="586" w:lineRule="exact"/>
        <w:ind w:firstLine="470" w:firstLineChars="147"/>
        <w:rPr>
          <w:szCs w:val="32"/>
        </w:rPr>
      </w:pPr>
      <w:r>
        <w:rPr>
          <w:szCs w:val="32"/>
        </w:rPr>
        <w:t>一、部门收支总体情况表（表1）</w:t>
      </w:r>
    </w:p>
    <w:p>
      <w:pPr>
        <w:adjustRightInd w:val="0"/>
        <w:snapToGrid w:val="0"/>
        <w:spacing w:line="586" w:lineRule="exact"/>
        <w:ind w:firstLine="470" w:firstLineChars="147"/>
        <w:rPr>
          <w:szCs w:val="32"/>
        </w:rPr>
      </w:pPr>
      <w:r>
        <w:rPr>
          <w:szCs w:val="32"/>
        </w:rPr>
        <w:t>二、部门收入总体情况表（表2）</w:t>
      </w:r>
    </w:p>
    <w:p>
      <w:pPr>
        <w:adjustRightInd w:val="0"/>
        <w:snapToGrid w:val="0"/>
        <w:spacing w:line="586" w:lineRule="exact"/>
        <w:ind w:firstLine="470" w:firstLineChars="147"/>
        <w:rPr>
          <w:szCs w:val="32"/>
        </w:rPr>
      </w:pPr>
      <w:r>
        <w:rPr>
          <w:szCs w:val="32"/>
        </w:rPr>
        <w:t>三、部门支出总体情况表（表3）</w:t>
      </w:r>
    </w:p>
    <w:p>
      <w:pPr>
        <w:adjustRightInd w:val="0"/>
        <w:snapToGrid w:val="0"/>
        <w:spacing w:line="586" w:lineRule="exact"/>
        <w:ind w:firstLine="470" w:firstLineChars="147"/>
        <w:rPr>
          <w:szCs w:val="32"/>
        </w:rPr>
      </w:pPr>
      <w:r>
        <w:rPr>
          <w:szCs w:val="32"/>
        </w:rPr>
        <w:t>四、财政拨款收支总体情况表（表4）</w:t>
      </w:r>
    </w:p>
    <w:p>
      <w:pPr>
        <w:adjustRightInd w:val="0"/>
        <w:snapToGrid w:val="0"/>
        <w:spacing w:line="586" w:lineRule="exact"/>
        <w:ind w:firstLine="470" w:firstLineChars="147"/>
        <w:rPr>
          <w:szCs w:val="32"/>
        </w:rPr>
      </w:pPr>
      <w:r>
        <w:rPr>
          <w:szCs w:val="32"/>
        </w:rPr>
        <w:t>五、一般公共预算支出情况表（表5）</w:t>
      </w:r>
    </w:p>
    <w:p>
      <w:pPr>
        <w:adjustRightInd w:val="0"/>
        <w:snapToGrid w:val="0"/>
        <w:spacing w:line="586" w:lineRule="exact"/>
        <w:ind w:firstLine="470" w:firstLineChars="147"/>
        <w:rPr>
          <w:szCs w:val="32"/>
        </w:rPr>
      </w:pPr>
      <w:r>
        <w:rPr>
          <w:szCs w:val="32"/>
        </w:rPr>
        <w:t>六、一般公共预算基本支出情况表（表6）</w:t>
      </w:r>
    </w:p>
    <w:p>
      <w:pPr>
        <w:adjustRightInd w:val="0"/>
        <w:snapToGrid w:val="0"/>
        <w:spacing w:line="586" w:lineRule="exact"/>
        <w:ind w:firstLine="470" w:firstLineChars="147"/>
        <w:rPr>
          <w:szCs w:val="32"/>
        </w:rPr>
      </w:pPr>
      <w:r>
        <w:rPr>
          <w:szCs w:val="32"/>
        </w:rPr>
        <w:t>七、一般公共预算“三公”经费支出情况表（表7）</w:t>
      </w:r>
    </w:p>
    <w:p>
      <w:pPr>
        <w:adjustRightInd w:val="0"/>
        <w:snapToGrid w:val="0"/>
        <w:spacing w:line="586" w:lineRule="exact"/>
        <w:ind w:firstLine="470" w:firstLineChars="147"/>
        <w:rPr>
          <w:szCs w:val="32"/>
        </w:rPr>
      </w:pPr>
      <w:r>
        <w:rPr>
          <w:szCs w:val="32"/>
        </w:rPr>
        <w:t>八、政府性基金预算支出情况表（表8）</w:t>
      </w:r>
    </w:p>
    <w:p>
      <w:pPr>
        <w:adjustRightInd w:val="0"/>
        <w:snapToGrid w:val="0"/>
        <w:spacing w:line="586" w:lineRule="exact"/>
        <w:ind w:firstLine="470" w:firstLineChars="147"/>
        <w:rPr>
          <w:szCs w:val="32"/>
        </w:rPr>
      </w:pPr>
      <w:r>
        <w:rPr>
          <w:szCs w:val="32"/>
        </w:rPr>
        <w:t>九、国有资本经营预算支出表（表9）</w:t>
      </w:r>
    </w:p>
    <w:p>
      <w:pPr>
        <w:adjustRightInd w:val="0"/>
        <w:snapToGrid w:val="0"/>
        <w:spacing w:line="586" w:lineRule="exact"/>
        <w:ind w:firstLine="470" w:firstLineChars="147"/>
        <w:rPr>
          <w:szCs w:val="32"/>
        </w:rPr>
      </w:pPr>
      <w:r>
        <w:rPr>
          <w:szCs w:val="32"/>
        </w:rPr>
        <w:t>十、政府采购预算表（表10）</w:t>
      </w:r>
    </w:p>
    <w:p>
      <w:pPr>
        <w:adjustRightInd w:val="0"/>
        <w:snapToGrid w:val="0"/>
        <w:spacing w:line="586" w:lineRule="exact"/>
        <w:ind w:firstLine="470" w:firstLineChars="147"/>
        <w:rPr>
          <w:szCs w:val="32"/>
        </w:rPr>
      </w:pPr>
      <w:r>
        <w:rPr>
          <w:szCs w:val="32"/>
        </w:rPr>
        <w:t>十一、部门预算支出经济分类表（表11）</w:t>
      </w:r>
    </w:p>
    <w:p>
      <w:pPr>
        <w:adjustRightInd w:val="0"/>
        <w:snapToGrid w:val="0"/>
        <w:spacing w:line="586" w:lineRule="exact"/>
        <w:ind w:firstLine="470" w:firstLineChars="147"/>
        <w:rPr>
          <w:szCs w:val="32"/>
        </w:rPr>
      </w:pPr>
      <w:r>
        <w:rPr>
          <w:szCs w:val="32"/>
        </w:rPr>
        <w:t>十二、政府预算支出经济分类表（表12）</w:t>
      </w:r>
    </w:p>
    <w:p>
      <w:pPr>
        <w:spacing w:line="586" w:lineRule="exact"/>
        <w:ind w:firstLine="470" w:firstLineChars="147"/>
        <w:rPr>
          <w:rFonts w:eastAsia="黑体"/>
          <w:szCs w:val="32"/>
        </w:rPr>
      </w:pPr>
      <w:r>
        <w:rPr>
          <w:rFonts w:hAnsi="黑体" w:eastAsia="黑体"/>
          <w:szCs w:val="32"/>
        </w:rPr>
        <w:t>上述报表详见附件。</w:t>
      </w:r>
    </w:p>
    <w:p>
      <w:pPr>
        <w:autoSpaceDE w:val="0"/>
        <w:autoSpaceDN w:val="0"/>
        <w:adjustRightInd w:val="0"/>
        <w:spacing w:line="586" w:lineRule="exact"/>
        <w:ind w:left="-224" w:leftChars="-70" w:firstLine="626" w:firstLineChars="195"/>
        <w:rPr>
          <w:b/>
          <w:szCs w:val="32"/>
        </w:rPr>
      </w:pPr>
      <w:r>
        <w:rPr>
          <w:rFonts w:hint="eastAsia"/>
          <w:b/>
          <w:szCs w:val="32"/>
        </w:rPr>
        <w:t>附件.</w:t>
      </w:r>
      <w:r>
        <w:rPr>
          <w:rFonts w:hint="eastAsia" w:ascii="黑体" w:hAnsi="宋体" w:eastAsia="黑体"/>
          <w:szCs w:val="32"/>
          <w:lang w:eastAsia="zh-CN"/>
        </w:rPr>
        <w:t>桂林市动物疫病预防控制中心</w:t>
      </w:r>
      <w:r>
        <w:rPr>
          <w:rFonts w:hint="eastAsia"/>
          <w:b/>
          <w:szCs w:val="32"/>
        </w:rPr>
        <w:t>部门预算报表（财政审核）（桂林市本级预算公开表）</w:t>
      </w:r>
      <w:r>
        <w:rPr>
          <w:b/>
          <w:szCs w:val="32"/>
        </w:rPr>
        <w:t>.xls</w:t>
      </w:r>
    </w:p>
    <w:p>
      <w:pPr>
        <w:tabs>
          <w:tab w:val="center" w:pos="4475"/>
        </w:tabs>
        <w:spacing w:line="560" w:lineRule="exact"/>
        <w:ind w:firstLine="645"/>
        <w:rPr>
          <w:rFonts w:ascii="仿宋_GB2312" w:hAnsi="宋体"/>
          <w:szCs w:val="32"/>
          <w:u w:val="single"/>
        </w:rPr>
      </w:pPr>
    </w:p>
    <w:p/>
    <w:sectPr>
      <w:footerReference r:id="rId3" w:type="default"/>
      <w:footerReference r:id="rId4" w:type="even"/>
      <w:pgSz w:w="11906" w:h="16838"/>
      <w:pgMar w:top="2098" w:right="1417" w:bottom="1984" w:left="1587" w:header="851" w:footer="992" w:gutter="0"/>
      <w:pgNumType w:start="8"/>
      <w:cols w:space="720" w:num="1"/>
      <w:docGrid w:type="lines"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7"/>
                              <w:rFonts w:ascii="宋体" w:hAnsi="宋体" w:cs="宋体"/>
                              <w:sz w:val="32"/>
                              <w:szCs w:val="32"/>
                            </w:rPr>
                          </w:pPr>
                          <w:r>
                            <w:rPr>
                              <w:rStyle w:val="7"/>
                              <w:rFonts w:hint="eastAsia" w:ascii="宋体" w:hAnsi="宋体" w:cs="宋体"/>
                              <w:sz w:val="28"/>
                              <w:szCs w:val="28"/>
                            </w:rPr>
                            <w:t>—</w:t>
                          </w:r>
                          <w:r>
                            <w:rPr>
                              <w:rStyle w:val="7"/>
                              <w:rFonts w:hint="eastAsia" w:ascii="宋体" w:hAnsi="宋体" w:cs="宋体"/>
                              <w:sz w:val="28"/>
                              <w:szCs w:val="28"/>
                            </w:rPr>
                            <w:fldChar w:fldCharType="begin"/>
                          </w:r>
                          <w:r>
                            <w:rPr>
                              <w:rStyle w:val="7"/>
                              <w:rFonts w:hint="eastAsia" w:ascii="宋体" w:hAnsi="宋体" w:cs="宋体"/>
                              <w:sz w:val="28"/>
                              <w:szCs w:val="28"/>
                            </w:rPr>
                            <w:instrText xml:space="preserve">PAGE  </w:instrText>
                          </w:r>
                          <w:r>
                            <w:rPr>
                              <w:rStyle w:val="7"/>
                              <w:rFonts w:hint="eastAsia" w:ascii="宋体" w:hAnsi="宋体" w:cs="宋体"/>
                              <w:sz w:val="28"/>
                              <w:szCs w:val="28"/>
                            </w:rPr>
                            <w:fldChar w:fldCharType="separate"/>
                          </w:r>
                          <w:r>
                            <w:rPr>
                              <w:rStyle w:val="7"/>
                              <w:rFonts w:ascii="宋体" w:hAnsi="宋体" w:cs="宋体"/>
                              <w:sz w:val="28"/>
                              <w:szCs w:val="28"/>
                            </w:rPr>
                            <w:t>17</w:t>
                          </w:r>
                          <w:r>
                            <w:rPr>
                              <w:rStyle w:val="7"/>
                              <w:rFonts w:hint="eastAsia" w:ascii="宋体" w:hAnsi="宋体" w:cs="宋体"/>
                              <w:sz w:val="28"/>
                              <w:szCs w:val="28"/>
                            </w:rPr>
                            <w:fldChar w:fldCharType="end"/>
                          </w:r>
                          <w:r>
                            <w:rPr>
                              <w:rStyle w:val="7"/>
                              <w:rFonts w:hint="eastAsia" w:ascii="宋体" w:hAnsi="宋体" w:cs="宋体"/>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3"/>
                      <w:rPr>
                        <w:rStyle w:val="7"/>
                        <w:rFonts w:ascii="宋体" w:hAnsi="宋体" w:cs="宋体"/>
                        <w:sz w:val="32"/>
                        <w:szCs w:val="32"/>
                      </w:rPr>
                    </w:pPr>
                    <w:r>
                      <w:rPr>
                        <w:rStyle w:val="7"/>
                        <w:rFonts w:hint="eastAsia" w:ascii="宋体" w:hAnsi="宋体" w:cs="宋体"/>
                        <w:sz w:val="28"/>
                        <w:szCs w:val="28"/>
                      </w:rPr>
                      <w:t>—</w:t>
                    </w:r>
                    <w:r>
                      <w:rPr>
                        <w:rStyle w:val="7"/>
                        <w:rFonts w:hint="eastAsia" w:ascii="宋体" w:hAnsi="宋体" w:cs="宋体"/>
                        <w:sz w:val="28"/>
                        <w:szCs w:val="28"/>
                      </w:rPr>
                      <w:fldChar w:fldCharType="begin"/>
                    </w:r>
                    <w:r>
                      <w:rPr>
                        <w:rStyle w:val="7"/>
                        <w:rFonts w:hint="eastAsia" w:ascii="宋体" w:hAnsi="宋体" w:cs="宋体"/>
                        <w:sz w:val="28"/>
                        <w:szCs w:val="28"/>
                      </w:rPr>
                      <w:instrText xml:space="preserve">PAGE  </w:instrText>
                    </w:r>
                    <w:r>
                      <w:rPr>
                        <w:rStyle w:val="7"/>
                        <w:rFonts w:hint="eastAsia" w:ascii="宋体" w:hAnsi="宋体" w:cs="宋体"/>
                        <w:sz w:val="28"/>
                        <w:szCs w:val="28"/>
                      </w:rPr>
                      <w:fldChar w:fldCharType="separate"/>
                    </w:r>
                    <w:r>
                      <w:rPr>
                        <w:rStyle w:val="7"/>
                        <w:rFonts w:ascii="宋体" w:hAnsi="宋体" w:cs="宋体"/>
                        <w:sz w:val="28"/>
                        <w:szCs w:val="28"/>
                      </w:rPr>
                      <w:t>17</w:t>
                    </w:r>
                    <w:r>
                      <w:rPr>
                        <w:rStyle w:val="7"/>
                        <w:rFonts w:hint="eastAsia" w:ascii="宋体" w:hAnsi="宋体" w:cs="宋体"/>
                        <w:sz w:val="28"/>
                        <w:szCs w:val="28"/>
                      </w:rPr>
                      <w:fldChar w:fldCharType="end"/>
                    </w:r>
                    <w:r>
                      <w:rPr>
                        <w:rStyle w:val="7"/>
                        <w:rFonts w:hint="eastAsia" w:ascii="宋体" w:hAnsi="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ZWUxMjc4ODQwOTc3MjAyYmZhZGNiZThkZGE4YzgifQ=="/>
  </w:docVars>
  <w:rsids>
    <w:rsidRoot w:val="000E2B2E"/>
    <w:rsid w:val="000C60AF"/>
    <w:rsid w:val="000E2B2E"/>
    <w:rsid w:val="00102F95"/>
    <w:rsid w:val="004C201E"/>
    <w:rsid w:val="006B3BA0"/>
    <w:rsid w:val="007035D5"/>
    <w:rsid w:val="007657B9"/>
    <w:rsid w:val="007C4397"/>
    <w:rsid w:val="0095006D"/>
    <w:rsid w:val="009D29CA"/>
    <w:rsid w:val="00C20C21"/>
    <w:rsid w:val="00C42C76"/>
    <w:rsid w:val="00CD21AA"/>
    <w:rsid w:val="00E72012"/>
    <w:rsid w:val="162E424A"/>
    <w:rsid w:val="1FED5FDA"/>
    <w:rsid w:val="20597A62"/>
    <w:rsid w:val="289E10CF"/>
    <w:rsid w:val="314515E2"/>
    <w:rsid w:val="37F8218A"/>
    <w:rsid w:val="790569A4"/>
    <w:rsid w:val="7B860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autoRedefine/>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cs="Courier New"/>
      <w:szCs w:val="21"/>
    </w:rPr>
  </w:style>
  <w:style w:type="paragraph" w:styleId="3">
    <w:name w:val="footer"/>
    <w:basedOn w:val="1"/>
    <w:link w:val="10"/>
    <w:autoRedefine/>
    <w:unhideWhenUsed/>
    <w:qFormat/>
    <w:uiPriority w:val="0"/>
    <w:pPr>
      <w:tabs>
        <w:tab w:val="center" w:pos="4153"/>
        <w:tab w:val="right" w:pos="8306"/>
      </w:tabs>
      <w:snapToGrid w:val="0"/>
      <w:jc w:val="left"/>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rPr>
      <w:rFonts w:ascii="Times New Roman" w:hAnsi="Times New Roman" w:eastAsia="宋体" w:cs="Times New Roman"/>
    </w:rPr>
  </w:style>
  <w:style w:type="paragraph" w:customStyle="1" w:styleId="8">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character" w:customStyle="1" w:styleId="9">
    <w:name w:val="页眉 Char"/>
    <w:basedOn w:val="6"/>
    <w:link w:val="4"/>
    <w:autoRedefine/>
    <w:semiHidden/>
    <w:qFormat/>
    <w:uiPriority w:val="99"/>
    <w:rPr>
      <w:sz w:val="18"/>
      <w:szCs w:val="18"/>
    </w:rPr>
  </w:style>
  <w:style w:type="character" w:customStyle="1" w:styleId="10">
    <w:name w:val="页脚 Char"/>
    <w:basedOn w:val="6"/>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628</Words>
  <Characters>3583</Characters>
  <Lines>29</Lines>
  <Paragraphs>8</Paragraphs>
  <TotalTime>3</TotalTime>
  <ScaleCrop>false</ScaleCrop>
  <LinksUpToDate>false</LinksUpToDate>
  <CharactersWithSpaces>4203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2024-02-28T07:42:00Z</dcterms:created>
  <dc:creator>夏候飞</dc:creator>
  <cp:lastModifiedBy>笑容打败太阳</cp:lastModifiedBy>
  <dcterms:modified xsi:type="dcterms:W3CDTF">2024-04-03T07:06:06Z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FAB5B3932FF946638FA050541F40D46D_13</vt:lpwstr>
  </property>
</Properties>
</file>