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-333" w:rightChars="-104"/>
        <w:jc w:val="center"/>
        <w:rPr>
          <w:rFonts w:hint="eastAsia" w:ascii="方正小标宋_GBK" w:hAnsi="仿宋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仿宋" w:eastAsia="方正小标宋_GBK"/>
          <w:sz w:val="44"/>
          <w:szCs w:val="44"/>
          <w:highlight w:val="none"/>
          <w:lang w:eastAsia="zh-CN"/>
        </w:rPr>
        <w:t>荔浦市人民法院2024年部门预算公开说明</w:t>
      </w:r>
    </w:p>
    <w:p>
      <w:pPr>
        <w:adjustRightInd w:val="0"/>
        <w:snapToGrid w:val="0"/>
        <w:spacing w:line="560" w:lineRule="exact"/>
        <w:ind w:right="-333" w:rightChars="-104"/>
        <w:jc w:val="center"/>
        <w:rPr>
          <w:rFonts w:ascii="黑体" w:hAnsi="宋体" w:eastAsia="黑体"/>
          <w:bCs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right="-333" w:rightChars="-104"/>
        <w:jc w:val="center"/>
        <w:rPr>
          <w:rFonts w:ascii="黑体" w:hAnsi="宋体" w:eastAsia="黑体"/>
          <w:bCs/>
          <w:szCs w:val="32"/>
          <w:highlight w:val="none"/>
        </w:rPr>
      </w:pPr>
      <w:r>
        <w:rPr>
          <w:rFonts w:hint="eastAsia" w:ascii="黑体" w:hAnsi="宋体" w:eastAsia="黑体"/>
          <w:bCs/>
          <w:szCs w:val="32"/>
          <w:highlight w:val="none"/>
        </w:rPr>
        <w:t>目  录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  <w:highlight w:val="none"/>
        </w:rPr>
      </w:pPr>
      <w:r>
        <w:rPr>
          <w:rFonts w:hint="eastAsia" w:ascii="黑体" w:hAnsi="宋体" w:eastAsia="黑体"/>
          <w:bCs/>
          <w:szCs w:val="32"/>
          <w:highlight w:val="none"/>
        </w:rPr>
        <w:t>第一部分：部门概况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  <w:highlight w:val="none"/>
        </w:rPr>
      </w:pPr>
      <w:r>
        <w:rPr>
          <w:rFonts w:hint="eastAsia" w:ascii="黑体" w:eastAsia="黑体"/>
          <w:szCs w:val="32"/>
          <w:highlight w:val="none"/>
        </w:rPr>
        <w:t>第二部分：</w:t>
      </w:r>
      <w:r>
        <w:rPr>
          <w:rFonts w:hint="eastAsia" w:ascii="黑体" w:hAnsi="宋体" w:eastAsia="黑体"/>
          <w:szCs w:val="32"/>
          <w:highlight w:val="none"/>
        </w:rPr>
        <w:t xml:space="preserve"> 2024年</w:t>
      </w:r>
      <w:r>
        <w:rPr>
          <w:rFonts w:hint="eastAsia" w:ascii="黑体" w:eastAsia="黑体"/>
          <w:szCs w:val="32"/>
          <w:highlight w:val="none"/>
        </w:rPr>
        <w:t>部门预算情况说明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  <w:highlight w:val="none"/>
        </w:rPr>
      </w:pPr>
      <w:r>
        <w:rPr>
          <w:rFonts w:hint="eastAsia" w:ascii="黑体" w:eastAsia="黑体"/>
          <w:szCs w:val="32"/>
          <w:highlight w:val="none"/>
        </w:rPr>
        <w:t>第三部分：名词解释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  <w:highlight w:val="none"/>
        </w:rPr>
      </w:pPr>
      <w:r>
        <w:rPr>
          <w:rFonts w:hint="eastAsia" w:ascii="黑体" w:hAnsi="宋体" w:eastAsia="黑体"/>
          <w:bCs/>
          <w:szCs w:val="32"/>
          <w:highlight w:val="none"/>
        </w:rPr>
        <w:t>第四部分：</w:t>
      </w:r>
      <w:r>
        <w:rPr>
          <w:rFonts w:hint="eastAsia" w:ascii="黑体" w:hAnsi="宋体" w:eastAsia="黑体"/>
          <w:szCs w:val="32"/>
          <w:highlight w:val="none"/>
        </w:rPr>
        <w:t xml:space="preserve"> 2024年</w:t>
      </w:r>
      <w:r>
        <w:rPr>
          <w:rFonts w:hint="eastAsia" w:ascii="黑体" w:eastAsia="黑体"/>
          <w:szCs w:val="32"/>
          <w:highlight w:val="none"/>
        </w:rPr>
        <w:t>部门预算报表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  <w:highlight w:val="none"/>
        </w:rPr>
      </w:pPr>
    </w:p>
    <w:p>
      <w:pPr>
        <w:widowControl/>
        <w:jc w:val="left"/>
        <w:rPr>
          <w:rFonts w:ascii="黑体" w:hAnsi="宋体" w:eastAsia="黑体"/>
          <w:bCs/>
          <w:szCs w:val="32"/>
          <w:highlight w:val="none"/>
        </w:rPr>
      </w:pPr>
      <w:r>
        <w:rPr>
          <w:rFonts w:ascii="黑体" w:hAnsi="宋体" w:eastAsia="黑体"/>
          <w:bCs/>
          <w:szCs w:val="32"/>
          <w:highlight w:val="none"/>
        </w:rPr>
        <w:br w:type="page"/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bCs/>
          <w:szCs w:val="32"/>
          <w:highlight w:val="none"/>
        </w:rPr>
      </w:pPr>
      <w:r>
        <w:rPr>
          <w:rFonts w:hint="eastAsia" w:ascii="黑体" w:hAnsi="宋体" w:eastAsia="黑体"/>
          <w:bCs/>
          <w:szCs w:val="32"/>
          <w:highlight w:val="none"/>
        </w:rPr>
        <w:t>第一部分：部门概况</w:t>
      </w:r>
    </w:p>
    <w:p>
      <w:pPr>
        <w:adjustRightInd w:val="0"/>
        <w:snapToGrid w:val="0"/>
        <w:spacing w:line="560" w:lineRule="exact"/>
        <w:ind w:right="-333" w:rightChars="-104" w:firstLine="640" w:firstLineChars="200"/>
        <w:rPr>
          <w:rFonts w:ascii="黑体" w:hAnsi="宋体" w:eastAsia="黑体"/>
          <w:szCs w:val="32"/>
          <w:highlight w:val="none"/>
        </w:rPr>
      </w:pPr>
      <w:r>
        <w:rPr>
          <w:rFonts w:hint="eastAsia" w:ascii="黑体" w:hAnsi="宋体" w:eastAsia="黑体"/>
          <w:bCs/>
          <w:szCs w:val="32"/>
          <w:highlight w:val="none"/>
        </w:rPr>
        <w:t>一</w:t>
      </w:r>
      <w:r>
        <w:rPr>
          <w:rFonts w:hint="eastAsia" w:ascii="黑体" w:hAnsi="宋体" w:eastAsia="黑体"/>
          <w:szCs w:val="32"/>
          <w:highlight w:val="none"/>
        </w:rPr>
        <w:t>、主要职责</w:t>
      </w:r>
    </w:p>
    <w:p>
      <w:pPr>
        <w:adjustRightInd w:val="0"/>
        <w:snapToGrid w:val="0"/>
        <w:spacing w:line="600" w:lineRule="exact"/>
        <w:ind w:right="-333" w:rightChars="-104"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（一）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审判法律规定由荔浦市人民法院管辖的，桂林市中级人民法院指定的刑事、民商事、行政等一审案件；执行本院一审发生法律效力的法律文书。</w:t>
      </w:r>
    </w:p>
    <w:p>
      <w:pPr>
        <w:adjustRightInd w:val="0"/>
        <w:snapToGrid w:val="0"/>
        <w:spacing w:line="600" w:lineRule="exact"/>
        <w:ind w:right="-333" w:rightChars="-104"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（二）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受理不服法院已经发生法律效力的判决、裁定的各类申诉和申请再审的案件。</w:t>
      </w:r>
    </w:p>
    <w:p>
      <w:pPr>
        <w:adjustRightInd w:val="0"/>
        <w:snapToGrid w:val="0"/>
        <w:spacing w:line="600" w:lineRule="exact"/>
        <w:ind w:right="-333" w:rightChars="-104"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（三）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领导基层人民法庭的审判工作。</w:t>
      </w:r>
    </w:p>
    <w:p>
      <w:pPr>
        <w:adjustRightInd w:val="0"/>
        <w:snapToGrid w:val="0"/>
        <w:spacing w:line="600" w:lineRule="exact"/>
        <w:ind w:right="-333" w:rightChars="-104"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（四）依法审查国家赔偿案件。</w:t>
      </w:r>
    </w:p>
    <w:p>
      <w:pPr>
        <w:adjustRightInd w:val="0"/>
        <w:snapToGrid w:val="0"/>
        <w:spacing w:line="600" w:lineRule="exact"/>
        <w:ind w:right="-333" w:rightChars="-104"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（五）加强全院的思想政治、宣传教育和法官培训工作；依照权限管理法官、执行员、书记员、司法警察和司法行政人员。</w:t>
      </w:r>
    </w:p>
    <w:p>
      <w:pPr>
        <w:adjustRightInd w:val="0"/>
        <w:snapToGrid w:val="0"/>
        <w:spacing w:line="600" w:lineRule="exact"/>
        <w:ind w:right="-333" w:rightChars="-104"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（六）积极参与有关法律、法规、规章的讨论并提出意见。</w:t>
      </w:r>
    </w:p>
    <w:p>
      <w:pPr>
        <w:adjustRightInd w:val="0"/>
        <w:snapToGrid w:val="0"/>
        <w:spacing w:line="600" w:lineRule="exact"/>
        <w:ind w:right="-333" w:rightChars="-104"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针对案件审理中发现的问题及时提出司法建议。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（八）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承办其他应当由荔浦市人民法院负责的工作。</w:t>
      </w:r>
    </w:p>
    <w:p>
      <w:pPr>
        <w:spacing w:line="560" w:lineRule="exact"/>
        <w:ind w:firstLine="640" w:firstLineChars="200"/>
        <w:rPr>
          <w:rFonts w:ascii="黑体" w:hAnsi="宋体" w:eastAsia="黑体"/>
          <w:szCs w:val="32"/>
          <w:highlight w:val="none"/>
        </w:rPr>
      </w:pPr>
      <w:r>
        <w:rPr>
          <w:rFonts w:hint="eastAsia" w:ascii="黑体" w:hAnsi="宋体" w:eastAsia="黑体"/>
          <w:szCs w:val="32"/>
          <w:highlight w:val="none"/>
        </w:rPr>
        <w:t>二、机构设置情况</w:t>
      </w:r>
    </w:p>
    <w:p>
      <w:pPr>
        <w:adjustRightInd w:val="0"/>
        <w:snapToGrid w:val="0"/>
        <w:spacing w:line="600" w:lineRule="exact"/>
        <w:ind w:right="-333" w:rightChars="-104" w:firstLine="640" w:firstLineChars="200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荔浦市人民法院内设机构有立案庭(诉讼服务中心）、刑事审判庭、民事审判庭、综合审判庭、执行局、政治部、综合办公室、审判管理办公室（研究室）、司法警察大队，派出机构有马岭人民法庭、青山人民法庭、新坪人民法庭。我院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</w:t>
      </w:r>
      <w:r>
        <w:rPr>
          <w:rFonts w:hint="eastAsia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年为二级预算单位。</w:t>
      </w:r>
    </w:p>
    <w:p>
      <w:pPr>
        <w:spacing w:line="586" w:lineRule="exact"/>
        <w:ind w:firstLine="627" w:firstLineChars="196"/>
        <w:rPr>
          <w:rFonts w:eastAsia="黑体"/>
          <w:szCs w:val="32"/>
          <w:highlight w:val="none"/>
        </w:rPr>
      </w:pPr>
    </w:p>
    <w:p>
      <w:pPr>
        <w:autoSpaceDE w:val="0"/>
        <w:autoSpaceDN w:val="0"/>
        <w:adjustRightInd w:val="0"/>
        <w:spacing w:line="586" w:lineRule="exact"/>
        <w:ind w:left="16" w:leftChars="5" w:firstLine="627" w:firstLineChars="196"/>
        <w:rPr>
          <w:rFonts w:ascii="仿宋_GB2312" w:hAnsi="仿宋_GB2312" w:cs="仿宋_GB2312"/>
          <w:szCs w:val="32"/>
          <w:highlight w:val="none"/>
          <w:u w:val="single"/>
        </w:rPr>
      </w:pPr>
      <w:r>
        <w:rPr>
          <w:rFonts w:hint="eastAsia" w:ascii="黑体" w:eastAsia="黑体"/>
          <w:szCs w:val="32"/>
          <w:highlight w:val="none"/>
        </w:rPr>
        <w:t>第二部分：</w:t>
      </w:r>
      <w:r>
        <w:rPr>
          <w:rFonts w:hint="eastAsia" w:hAnsi="黑体" w:eastAsia="黑体"/>
          <w:szCs w:val="32"/>
          <w:highlight w:val="none"/>
          <w:lang w:eastAsia="zh-CN"/>
        </w:rPr>
        <w:t>荔浦市人民法院</w:t>
      </w:r>
      <w:r>
        <w:rPr>
          <w:rFonts w:eastAsia="黑体"/>
          <w:szCs w:val="32"/>
          <w:highlight w:val="none"/>
        </w:rPr>
        <w:t>202</w:t>
      </w:r>
      <w:r>
        <w:rPr>
          <w:rFonts w:hint="eastAsia" w:eastAsia="黑体"/>
          <w:szCs w:val="32"/>
          <w:highlight w:val="none"/>
        </w:rPr>
        <w:t>4</w:t>
      </w:r>
      <w:r>
        <w:rPr>
          <w:rFonts w:hAnsi="黑体" w:eastAsia="黑体"/>
          <w:szCs w:val="32"/>
          <w:highlight w:val="none"/>
        </w:rPr>
        <w:t>年部门预算情况说明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none"/>
        </w:rPr>
      </w:pPr>
      <w:r>
        <w:rPr>
          <w:rFonts w:hint="eastAsia" w:ascii="黑体" w:eastAsia="黑体"/>
          <w:szCs w:val="32"/>
          <w:highlight w:val="none"/>
        </w:rPr>
        <w:t>一、部门收支总体情况说明</w:t>
      </w:r>
    </w:p>
    <w:p>
      <w:pPr>
        <w:tabs>
          <w:tab w:val="center" w:pos="4475"/>
        </w:tabs>
        <w:spacing w:line="560" w:lineRule="exact"/>
        <w:ind w:firstLine="645"/>
        <w:rPr>
          <w:rFonts w:hint="default" w:ascii="黑体" w:eastAsia="黑体"/>
          <w:szCs w:val="32"/>
          <w:highlight w:val="none"/>
          <w:lang w:val="en-US"/>
        </w:rPr>
      </w:pPr>
      <w:r>
        <w:rPr>
          <w:rFonts w:hint="eastAsia" w:ascii="仿宋_GB2312" w:hAnsi="宋体"/>
          <w:szCs w:val="32"/>
          <w:highlight w:val="none"/>
        </w:rPr>
        <w:t>我部门</w:t>
      </w:r>
      <w:r>
        <w:rPr>
          <w:rFonts w:hint="eastAsia" w:ascii="仿宋_GB2312"/>
          <w:szCs w:val="32"/>
          <w:highlight w:val="none"/>
        </w:rPr>
        <w:t>总收入</w:t>
      </w:r>
      <w:r>
        <w:rPr>
          <w:rFonts w:hint="eastAsia" w:ascii="仿宋_GB2312"/>
          <w:szCs w:val="32"/>
          <w:highlight w:val="none"/>
          <w:lang w:val="en-US" w:eastAsia="zh-CN"/>
        </w:rPr>
        <w:t>2360.63</w:t>
      </w:r>
      <w:r>
        <w:rPr>
          <w:rFonts w:hint="eastAsia" w:ascii="仿宋_GB2312"/>
          <w:szCs w:val="32"/>
          <w:highlight w:val="none"/>
        </w:rPr>
        <w:t>万元，总支出</w:t>
      </w:r>
      <w:r>
        <w:rPr>
          <w:rFonts w:hint="eastAsia" w:ascii="仿宋_GB2312"/>
          <w:szCs w:val="32"/>
          <w:highlight w:val="none"/>
          <w:lang w:val="en-US" w:eastAsia="zh-CN"/>
        </w:rPr>
        <w:t>2360.63</w:t>
      </w:r>
      <w:r>
        <w:rPr>
          <w:rFonts w:hint="eastAsia" w:ascii="仿宋_GB2312"/>
          <w:szCs w:val="32"/>
          <w:highlight w:val="none"/>
        </w:rPr>
        <w:t>万元（不含财政拨款上年未列支结转收支数）。总收入较上年增减少</w:t>
      </w:r>
      <w:r>
        <w:rPr>
          <w:rFonts w:hint="eastAsia" w:ascii="仿宋_GB2312"/>
          <w:szCs w:val="32"/>
          <w:highlight w:val="none"/>
          <w:lang w:val="en-US" w:eastAsia="zh-CN"/>
        </w:rPr>
        <w:t>0.82</w:t>
      </w:r>
      <w:r>
        <w:rPr>
          <w:rFonts w:hint="eastAsia" w:ascii="仿宋_GB2312"/>
          <w:szCs w:val="32"/>
          <w:highlight w:val="none"/>
        </w:rPr>
        <w:t>%，主要原因是</w:t>
      </w:r>
      <w:r>
        <w:rPr>
          <w:rFonts w:hint="eastAsia" w:ascii="仿宋_GB2312"/>
          <w:szCs w:val="32"/>
          <w:highlight w:val="none"/>
          <w:lang w:eastAsia="zh-CN"/>
        </w:rPr>
        <w:t>节省开支</w:t>
      </w:r>
      <w:r>
        <w:rPr>
          <w:rFonts w:hint="eastAsia" w:ascii="仿宋_GB2312"/>
          <w:szCs w:val="32"/>
          <w:highlight w:val="none"/>
        </w:rPr>
        <w:t>。总支出较上年增减少</w:t>
      </w:r>
      <w:r>
        <w:rPr>
          <w:rFonts w:hint="eastAsia" w:ascii="仿宋_GB2312"/>
          <w:szCs w:val="32"/>
          <w:highlight w:val="none"/>
          <w:lang w:val="en-US" w:eastAsia="zh-CN"/>
        </w:rPr>
        <w:t>0.82</w:t>
      </w:r>
      <w:r>
        <w:rPr>
          <w:rFonts w:hint="eastAsia" w:ascii="仿宋_GB2312"/>
          <w:szCs w:val="32"/>
          <w:highlight w:val="none"/>
        </w:rPr>
        <w:t>%，主要原因是</w:t>
      </w:r>
      <w:r>
        <w:rPr>
          <w:rFonts w:hint="eastAsia" w:ascii="仿宋_GB2312"/>
          <w:szCs w:val="32"/>
          <w:highlight w:val="none"/>
          <w:lang w:eastAsia="zh-CN"/>
        </w:rPr>
        <w:t>节省开支，</w:t>
      </w:r>
      <w:r>
        <w:rPr>
          <w:rFonts w:hint="eastAsia" w:ascii="仿宋_GB2312"/>
          <w:szCs w:val="32"/>
          <w:highlight w:val="none"/>
          <w:lang w:val="en-US" w:eastAsia="zh-CN"/>
        </w:rPr>
        <w:t>2024年预算不包含上级转移支付。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none"/>
        </w:rPr>
      </w:pPr>
      <w:r>
        <w:rPr>
          <w:rFonts w:hint="eastAsia" w:ascii="黑体" w:eastAsia="黑体"/>
          <w:szCs w:val="32"/>
          <w:highlight w:val="none"/>
        </w:rPr>
        <w:t>二、部门收入总体情况说明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none"/>
        </w:rPr>
      </w:pPr>
      <w:r>
        <w:rPr>
          <w:rFonts w:hint="eastAsia" w:ascii="仿宋_GB2312" w:hAnsi="宋体"/>
          <w:szCs w:val="32"/>
          <w:highlight w:val="none"/>
        </w:rPr>
        <w:t>我部门</w:t>
      </w:r>
      <w:r>
        <w:rPr>
          <w:rFonts w:hint="eastAsia" w:ascii="仿宋_GB2312"/>
          <w:szCs w:val="32"/>
          <w:highlight w:val="none"/>
        </w:rPr>
        <w:t>总收入</w:t>
      </w:r>
      <w:r>
        <w:rPr>
          <w:rFonts w:hint="eastAsia" w:ascii="仿宋_GB2312"/>
          <w:szCs w:val="32"/>
          <w:highlight w:val="none"/>
          <w:lang w:val="en-US" w:eastAsia="zh-CN"/>
        </w:rPr>
        <w:t>2360.63</w:t>
      </w:r>
      <w:r>
        <w:rPr>
          <w:rFonts w:hint="eastAsia" w:ascii="仿宋_GB2312"/>
          <w:szCs w:val="32"/>
          <w:highlight w:val="none"/>
        </w:rPr>
        <w:t>万元，较上年减少</w:t>
      </w:r>
      <w:r>
        <w:rPr>
          <w:rFonts w:hint="eastAsia" w:ascii="仿宋_GB2312"/>
          <w:szCs w:val="32"/>
          <w:highlight w:val="none"/>
          <w:lang w:val="en-US" w:eastAsia="zh-CN"/>
        </w:rPr>
        <w:t>0.82</w:t>
      </w:r>
      <w:r>
        <w:rPr>
          <w:rFonts w:hint="eastAsia" w:ascii="仿宋_GB2312"/>
          <w:szCs w:val="32"/>
          <w:highlight w:val="none"/>
        </w:rPr>
        <w:t>%，主要原因是</w:t>
      </w:r>
      <w:r>
        <w:rPr>
          <w:rFonts w:hint="eastAsia" w:ascii="仿宋_GB2312"/>
          <w:szCs w:val="32"/>
          <w:highlight w:val="none"/>
          <w:lang w:eastAsia="zh-CN"/>
        </w:rPr>
        <w:t>节省开支，</w:t>
      </w:r>
      <w:r>
        <w:rPr>
          <w:rFonts w:hint="eastAsia" w:ascii="仿宋_GB2312"/>
          <w:szCs w:val="32"/>
          <w:highlight w:val="none"/>
          <w:lang w:val="en-US" w:eastAsia="zh-CN"/>
        </w:rPr>
        <w:t>2024年预算不包含上级转移支付</w:t>
      </w:r>
      <w:r>
        <w:rPr>
          <w:rFonts w:hint="eastAsia" w:ascii="仿宋_GB2312"/>
          <w:szCs w:val="32"/>
          <w:highlight w:val="none"/>
        </w:rPr>
        <w:t>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none"/>
        </w:rPr>
      </w:pPr>
      <w:r>
        <w:rPr>
          <w:rFonts w:hint="eastAsia" w:ascii="黑体" w:eastAsia="黑体"/>
          <w:szCs w:val="32"/>
          <w:highlight w:val="none"/>
        </w:rPr>
        <w:t>三、部门支出总体情况说明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Times New Roman" w:eastAsia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hAnsi="宋体"/>
          <w:szCs w:val="32"/>
          <w:highlight w:val="none"/>
        </w:rPr>
        <w:t>我部门</w:t>
      </w:r>
      <w:r>
        <w:rPr>
          <w:rFonts w:hint="eastAsia" w:ascii="仿宋_GB2312"/>
          <w:szCs w:val="32"/>
          <w:highlight w:val="none"/>
        </w:rPr>
        <w:t>总支出</w:t>
      </w:r>
      <w:r>
        <w:rPr>
          <w:rFonts w:hint="eastAsia" w:ascii="仿宋_GB2312"/>
          <w:szCs w:val="32"/>
          <w:highlight w:val="none"/>
          <w:lang w:val="en-US" w:eastAsia="zh-CN"/>
        </w:rPr>
        <w:t>2360.63</w:t>
      </w:r>
      <w:r>
        <w:rPr>
          <w:rFonts w:hint="eastAsia" w:ascii="仿宋_GB2312"/>
          <w:szCs w:val="32"/>
          <w:highlight w:val="none"/>
        </w:rPr>
        <w:t>万元，较上年减少</w:t>
      </w:r>
      <w:r>
        <w:rPr>
          <w:rFonts w:hint="eastAsia" w:ascii="仿宋_GB2312"/>
          <w:szCs w:val="32"/>
          <w:highlight w:val="none"/>
          <w:lang w:val="en-US" w:eastAsia="zh-CN"/>
        </w:rPr>
        <w:t>0.82</w:t>
      </w:r>
      <w:r>
        <w:rPr>
          <w:rFonts w:hint="eastAsia" w:ascii="仿宋_GB2312"/>
          <w:szCs w:val="32"/>
          <w:highlight w:val="none"/>
        </w:rPr>
        <w:t>%，主要原因是</w:t>
      </w:r>
      <w:r>
        <w:rPr>
          <w:rFonts w:hint="eastAsia" w:ascii="仿宋_GB2312"/>
          <w:szCs w:val="32"/>
          <w:highlight w:val="none"/>
          <w:lang w:eastAsia="zh-CN"/>
        </w:rPr>
        <w:t>节省开支</w:t>
      </w:r>
      <w:r>
        <w:rPr>
          <w:rFonts w:hint="eastAsia" w:ascii="仿宋_GB2312"/>
          <w:szCs w:val="32"/>
          <w:highlight w:val="none"/>
        </w:rPr>
        <w:t>。主要包</w:t>
      </w:r>
      <w:r>
        <w:rPr>
          <w:rFonts w:hint="eastAsia" w:ascii="仿宋_GB2312" w:hAnsi="Times New Roman" w:cs="Times New Roman"/>
          <w:szCs w:val="32"/>
          <w:highlight w:val="none"/>
        </w:rPr>
        <w:t>括</w:t>
      </w:r>
      <w:r>
        <w:rPr>
          <w:rFonts w:hint="eastAsia" w:ascii="仿宋_GB2312" w:hAnsi="Times New Roman" w:cs="Times New Roman"/>
          <w:szCs w:val="32"/>
          <w:highlight w:val="none"/>
          <w:lang w:eastAsia="zh-CN"/>
        </w:rPr>
        <w:t>：</w:t>
      </w:r>
      <w:r>
        <w:rPr>
          <w:rFonts w:hint="eastAsia" w:ascii="仿宋_GB2312" w:hAnsi="Times New Roman" w:cs="Times New Roman"/>
          <w:szCs w:val="32"/>
          <w:highlight w:val="none"/>
        </w:rPr>
        <w:t>一般公共预算支出</w:t>
      </w:r>
      <w:r>
        <w:rPr>
          <w:rFonts w:hint="eastAsia" w:ascii="仿宋_GB2312" w:hAnsi="Times New Roman" w:cs="Times New Roman"/>
          <w:szCs w:val="32"/>
          <w:highlight w:val="none"/>
          <w:lang w:val="en-US" w:eastAsia="zh-CN"/>
        </w:rPr>
        <w:t>2360.63</w:t>
      </w:r>
      <w:r>
        <w:rPr>
          <w:rFonts w:hint="eastAsia" w:ascii="仿宋_GB2312" w:hAnsi="Times New Roman" w:cs="Times New Roman"/>
          <w:szCs w:val="32"/>
          <w:highlight w:val="none"/>
        </w:rPr>
        <w:t>万元，较上年减少</w:t>
      </w:r>
      <w:r>
        <w:rPr>
          <w:rFonts w:hint="eastAsia" w:ascii="仿宋_GB2312" w:hAnsi="Times New Roman" w:cs="Times New Roman"/>
          <w:szCs w:val="32"/>
          <w:highlight w:val="none"/>
          <w:lang w:val="en-US" w:eastAsia="zh-CN"/>
        </w:rPr>
        <w:t>19.63</w:t>
      </w:r>
      <w:r>
        <w:rPr>
          <w:rFonts w:hint="eastAsia" w:ascii="仿宋_GB2312" w:hAnsi="Times New Roman" w:cs="Times New Roman"/>
          <w:szCs w:val="32"/>
          <w:highlight w:val="none"/>
        </w:rPr>
        <w:t>万元，下降</w:t>
      </w:r>
      <w:r>
        <w:rPr>
          <w:rFonts w:hint="eastAsia" w:ascii="仿宋_GB2312" w:hAnsi="Times New Roman" w:cs="Times New Roman"/>
          <w:szCs w:val="32"/>
          <w:highlight w:val="none"/>
          <w:lang w:val="en-US" w:eastAsia="zh-CN"/>
        </w:rPr>
        <w:t>0.82</w:t>
      </w:r>
      <w:r>
        <w:rPr>
          <w:rFonts w:hint="default" w:ascii="仿宋_GB2312" w:hAnsi="Times New Roman" w:cs="Times New Roman"/>
          <w:szCs w:val="32"/>
          <w:highlight w:val="none"/>
        </w:rPr>
        <w:t>%</w:t>
      </w:r>
      <w:r>
        <w:rPr>
          <w:rFonts w:hint="eastAsia" w:ascii="仿宋_GB2312" w:hAnsi="Times New Roman" w:cs="Times New Roman"/>
          <w:szCs w:val="32"/>
          <w:highlight w:val="none"/>
        </w:rPr>
        <w:t>，主要原因是</w:t>
      </w:r>
      <w:r>
        <w:rPr>
          <w:rFonts w:hint="eastAsia" w:ascii="仿宋_GB2312" w:hAnsi="Times New Roman" w:cs="Times New Roman"/>
          <w:szCs w:val="32"/>
          <w:highlight w:val="none"/>
          <w:lang w:eastAsia="zh-CN"/>
        </w:rPr>
        <w:t>节省开支</w:t>
      </w:r>
      <w:r>
        <w:rPr>
          <w:rFonts w:hint="eastAsia" w:ascii="仿宋_GB2312" w:hAnsi="Times New Roman" w:cs="Times New Roman"/>
          <w:szCs w:val="32"/>
          <w:highlight w:val="none"/>
        </w:rPr>
        <w:t>，</w:t>
      </w:r>
      <w:r>
        <w:rPr>
          <w:rFonts w:hint="default" w:ascii="仿宋_GB2312" w:hAnsi="Times New Roman" w:cs="Times New Roman"/>
          <w:szCs w:val="32"/>
          <w:highlight w:val="none"/>
        </w:rPr>
        <w:t>2024</w:t>
      </w:r>
      <w:r>
        <w:rPr>
          <w:rFonts w:hint="eastAsia" w:ascii="仿宋_GB2312" w:hAnsi="Times New Roman" w:cs="Times New Roman"/>
          <w:szCs w:val="32"/>
          <w:highlight w:val="none"/>
        </w:rPr>
        <w:t>年预算不包含上级转移支付</w:t>
      </w:r>
      <w:r>
        <w:rPr>
          <w:rFonts w:hint="eastAsia" w:ascii="仿宋_GB2312" w:hAnsi="Times New Roman" w:cs="Times New Roman"/>
          <w:szCs w:val="32"/>
          <w:highlight w:val="none"/>
          <w:lang w:eastAsia="zh-CN"/>
        </w:rPr>
        <w:t>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none"/>
        </w:rPr>
      </w:pPr>
      <w:r>
        <w:rPr>
          <w:rFonts w:hint="eastAsia" w:ascii="黑体" w:eastAsia="黑体"/>
          <w:szCs w:val="32"/>
          <w:highlight w:val="none"/>
        </w:rPr>
        <w:t>四、财政拨款收支总体情况说明</w:t>
      </w:r>
    </w:p>
    <w:p>
      <w:pPr>
        <w:tabs>
          <w:tab w:val="center" w:pos="4475"/>
        </w:tabs>
        <w:spacing w:line="560" w:lineRule="exact"/>
        <w:ind w:firstLine="645"/>
        <w:rPr>
          <w:rFonts w:ascii="仿宋_GB2312"/>
          <w:szCs w:val="32"/>
          <w:highlight w:val="none"/>
        </w:rPr>
      </w:pPr>
      <w:r>
        <w:rPr>
          <w:rFonts w:hint="eastAsia" w:ascii="仿宋_GB2312" w:hAnsi="宋体"/>
          <w:szCs w:val="32"/>
          <w:highlight w:val="none"/>
        </w:rPr>
        <w:t>我部门</w:t>
      </w:r>
      <w:r>
        <w:rPr>
          <w:rFonts w:hint="eastAsia" w:ascii="仿宋_GB2312"/>
          <w:szCs w:val="32"/>
          <w:highlight w:val="none"/>
        </w:rPr>
        <w:t>财政拨款总收入</w:t>
      </w:r>
      <w:r>
        <w:rPr>
          <w:rFonts w:hint="eastAsia" w:ascii="仿宋_GB2312"/>
          <w:szCs w:val="32"/>
          <w:highlight w:val="none"/>
          <w:lang w:val="en-US" w:eastAsia="zh-CN"/>
        </w:rPr>
        <w:t>2360.63</w:t>
      </w:r>
      <w:r>
        <w:rPr>
          <w:rFonts w:hint="eastAsia" w:ascii="仿宋_GB2312"/>
          <w:szCs w:val="32"/>
          <w:highlight w:val="none"/>
        </w:rPr>
        <w:t>万元，总支出</w:t>
      </w:r>
      <w:r>
        <w:rPr>
          <w:rFonts w:hint="eastAsia" w:ascii="仿宋_GB2312"/>
          <w:szCs w:val="32"/>
          <w:highlight w:val="none"/>
          <w:lang w:val="en-US" w:eastAsia="zh-CN"/>
        </w:rPr>
        <w:t>2360.63</w:t>
      </w:r>
      <w:r>
        <w:rPr>
          <w:rFonts w:hint="eastAsia" w:ascii="仿宋_GB2312"/>
          <w:szCs w:val="32"/>
          <w:highlight w:val="none"/>
        </w:rPr>
        <w:t>万元（不含财政拨款上年未列支结转收支数）。财政拨款总收入较上年减少</w:t>
      </w:r>
      <w:r>
        <w:rPr>
          <w:rFonts w:hint="eastAsia" w:ascii="仿宋_GB2312"/>
          <w:szCs w:val="32"/>
          <w:highlight w:val="none"/>
          <w:lang w:val="en-US" w:eastAsia="zh-CN"/>
        </w:rPr>
        <w:t>0.82</w:t>
      </w:r>
      <w:r>
        <w:rPr>
          <w:rFonts w:hint="eastAsia" w:ascii="仿宋_GB2312"/>
          <w:szCs w:val="32"/>
          <w:highlight w:val="none"/>
        </w:rPr>
        <w:t>%，主要原因是</w:t>
      </w:r>
      <w:r>
        <w:rPr>
          <w:rFonts w:hint="eastAsia" w:ascii="仿宋_GB2312"/>
          <w:szCs w:val="32"/>
          <w:highlight w:val="none"/>
          <w:lang w:eastAsia="zh-CN"/>
        </w:rPr>
        <w:t>节省开支，</w:t>
      </w:r>
      <w:r>
        <w:rPr>
          <w:rFonts w:hint="eastAsia" w:ascii="仿宋_GB2312"/>
          <w:szCs w:val="32"/>
          <w:highlight w:val="none"/>
          <w:lang w:val="en-US" w:eastAsia="zh-CN"/>
        </w:rPr>
        <w:t>2024年预算不包含上级转移支付</w:t>
      </w:r>
      <w:r>
        <w:rPr>
          <w:rFonts w:hint="eastAsia" w:ascii="仿宋_GB2312"/>
          <w:szCs w:val="32"/>
          <w:highlight w:val="none"/>
        </w:rPr>
        <w:t>。财政拨款总支出较上年增长</w:t>
      </w:r>
      <w:r>
        <w:rPr>
          <w:rFonts w:hint="eastAsia" w:ascii="仿宋_GB2312"/>
          <w:szCs w:val="32"/>
          <w:highlight w:val="none"/>
          <w:lang w:val="en-US" w:eastAsia="zh-CN"/>
        </w:rPr>
        <w:t>0.82</w:t>
      </w:r>
      <w:r>
        <w:rPr>
          <w:rFonts w:hint="eastAsia" w:ascii="仿宋_GB2312"/>
          <w:szCs w:val="32"/>
          <w:highlight w:val="none"/>
        </w:rPr>
        <w:t>%，主要原因是</w:t>
      </w:r>
      <w:r>
        <w:rPr>
          <w:rFonts w:hint="eastAsia" w:ascii="仿宋_GB2312"/>
          <w:szCs w:val="32"/>
          <w:highlight w:val="none"/>
          <w:lang w:eastAsia="zh-CN"/>
        </w:rPr>
        <w:t>节省开支，</w:t>
      </w:r>
      <w:r>
        <w:rPr>
          <w:rFonts w:hint="eastAsia" w:ascii="仿宋_GB2312"/>
          <w:szCs w:val="32"/>
          <w:highlight w:val="none"/>
          <w:lang w:val="en-US" w:eastAsia="zh-CN"/>
        </w:rPr>
        <w:t>2024年预算不包含上级转移支付</w:t>
      </w:r>
      <w:r>
        <w:rPr>
          <w:rFonts w:hint="eastAsia" w:ascii="仿宋_GB2312"/>
          <w:szCs w:val="32"/>
          <w:highlight w:val="none"/>
        </w:rPr>
        <w:t>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none"/>
        </w:rPr>
      </w:pPr>
      <w:r>
        <w:rPr>
          <w:rFonts w:hint="eastAsia" w:ascii="黑体" w:eastAsia="黑体"/>
          <w:szCs w:val="32"/>
          <w:highlight w:val="none"/>
        </w:rPr>
        <w:t>五、一般公共预算支出情况说明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黑体" w:hAnsi="Times New Roman" w:eastAsia="黑体" w:cs="Times New Roman"/>
          <w:szCs w:val="32"/>
          <w:highlight w:val="none"/>
          <w:lang w:eastAsia="zh-CN"/>
        </w:rPr>
      </w:pPr>
      <w:r>
        <w:rPr>
          <w:rFonts w:hint="eastAsia" w:ascii="黑体" w:hAnsi="Times New Roman" w:eastAsia="黑体" w:cs="Times New Roman"/>
          <w:szCs w:val="32"/>
          <w:highlight w:val="none"/>
          <w:lang w:eastAsia="zh-CN"/>
        </w:rPr>
        <w:t>（一）总体情况说明</w:t>
      </w:r>
    </w:p>
    <w:p>
      <w:pPr>
        <w:tabs>
          <w:tab w:val="center" w:pos="4475"/>
        </w:tabs>
        <w:spacing w:line="560" w:lineRule="exact"/>
        <w:ind w:firstLine="645"/>
        <w:rPr>
          <w:rFonts w:ascii="仿宋_GB2312"/>
          <w:szCs w:val="32"/>
          <w:highlight w:val="none"/>
        </w:rPr>
      </w:pPr>
      <w:r>
        <w:rPr>
          <w:rFonts w:hint="eastAsia" w:ascii="仿宋_GB2312"/>
          <w:szCs w:val="32"/>
          <w:highlight w:val="none"/>
        </w:rPr>
        <w:t>我部门一般公共预算支出共</w:t>
      </w:r>
      <w:r>
        <w:rPr>
          <w:rFonts w:hint="eastAsia" w:ascii="仿宋_GB2312"/>
          <w:szCs w:val="32"/>
          <w:highlight w:val="none"/>
          <w:lang w:val="en-US" w:eastAsia="zh-CN"/>
        </w:rPr>
        <w:t>2360.63</w:t>
      </w:r>
      <w:r>
        <w:rPr>
          <w:rFonts w:hint="eastAsia" w:ascii="仿宋_GB2312"/>
          <w:szCs w:val="32"/>
          <w:highlight w:val="none"/>
        </w:rPr>
        <w:t>万元，较上年减少</w:t>
      </w:r>
      <w:r>
        <w:rPr>
          <w:rFonts w:hint="eastAsia" w:ascii="仿宋_GB2312"/>
          <w:szCs w:val="32"/>
          <w:highlight w:val="none"/>
          <w:lang w:val="en-US" w:eastAsia="zh-CN"/>
        </w:rPr>
        <w:t>0.82</w:t>
      </w:r>
      <w:r>
        <w:rPr>
          <w:rFonts w:hint="eastAsia" w:ascii="仿宋_GB2312"/>
          <w:szCs w:val="32"/>
          <w:highlight w:val="none"/>
        </w:rPr>
        <w:t>%，主要原因是</w:t>
      </w:r>
      <w:r>
        <w:rPr>
          <w:rFonts w:hint="eastAsia" w:ascii="仿宋_GB2312"/>
          <w:szCs w:val="32"/>
          <w:highlight w:val="none"/>
          <w:lang w:eastAsia="zh-CN"/>
        </w:rPr>
        <w:t>节省开支</w:t>
      </w:r>
      <w:r>
        <w:rPr>
          <w:rFonts w:hint="eastAsia" w:ascii="仿宋_GB2312"/>
          <w:szCs w:val="32"/>
          <w:highlight w:val="none"/>
        </w:rPr>
        <w:t>。具体情况为：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黑体" w:hAnsi="Times New Roman" w:eastAsia="黑体" w:cs="Times New Roman"/>
          <w:szCs w:val="32"/>
          <w:highlight w:val="none"/>
          <w:lang w:eastAsia="zh-CN"/>
        </w:rPr>
      </w:pPr>
      <w:r>
        <w:rPr>
          <w:rFonts w:hint="eastAsia" w:ascii="黑体" w:hAnsi="Times New Roman" w:eastAsia="黑体" w:cs="Times New Roman"/>
          <w:szCs w:val="32"/>
          <w:highlight w:val="none"/>
          <w:lang w:eastAsia="zh-CN"/>
        </w:rPr>
        <w:t>（二）按照功能分类科目进行说明</w:t>
      </w:r>
    </w:p>
    <w:p>
      <w:pPr>
        <w:autoSpaceDE w:val="0"/>
        <w:autoSpaceDN w:val="0"/>
        <w:adjustRightInd w:val="0"/>
        <w:spacing w:line="586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（1）</w:t>
      </w:r>
      <w:r>
        <w:rPr>
          <w:rFonts w:hint="eastAsia"/>
          <w:sz w:val="32"/>
          <w:szCs w:val="32"/>
          <w:highlight w:val="none"/>
          <w:lang w:val="en-US" w:eastAsia="zh-CN"/>
        </w:rPr>
        <w:t>行政运行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支出</w:t>
      </w:r>
      <w:r>
        <w:rPr>
          <w:rFonts w:hint="eastAsia"/>
          <w:sz w:val="32"/>
          <w:szCs w:val="32"/>
          <w:highlight w:val="none"/>
          <w:lang w:val="en-US" w:eastAsia="zh-CN"/>
        </w:rPr>
        <w:t>1355.64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万元，占总预算的</w:t>
      </w:r>
      <w:r>
        <w:rPr>
          <w:rFonts w:hint="eastAsia"/>
          <w:sz w:val="32"/>
          <w:szCs w:val="32"/>
          <w:highlight w:val="none"/>
          <w:lang w:val="en-US" w:eastAsia="zh-CN"/>
        </w:rPr>
        <w:t>57.43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%，同比</w:t>
      </w:r>
      <w:r>
        <w:rPr>
          <w:rFonts w:hint="eastAsia"/>
          <w:sz w:val="32"/>
          <w:szCs w:val="32"/>
          <w:highlight w:val="none"/>
          <w:lang w:val="en-US" w:eastAsia="zh-CN"/>
        </w:rPr>
        <w:t>增加209.99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万元，</w:t>
      </w:r>
      <w:r>
        <w:rPr>
          <w:rFonts w:hint="eastAsia"/>
          <w:sz w:val="32"/>
          <w:szCs w:val="32"/>
          <w:highlight w:val="none"/>
          <w:lang w:val="en-US" w:eastAsia="zh-CN"/>
        </w:rPr>
        <w:t>增加18.33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%。</w:t>
      </w:r>
    </w:p>
    <w:p>
      <w:pPr>
        <w:autoSpaceDE w:val="0"/>
        <w:autoSpaceDN w:val="0"/>
        <w:adjustRightInd w:val="0"/>
        <w:spacing w:line="586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（2）</w:t>
      </w:r>
      <w:r>
        <w:rPr>
          <w:rFonts w:hint="eastAsia"/>
          <w:sz w:val="32"/>
          <w:szCs w:val="32"/>
          <w:highlight w:val="none"/>
          <w:lang w:val="en-US" w:eastAsia="zh-CN"/>
        </w:rPr>
        <w:t>一般行政管理事务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支出</w:t>
      </w:r>
      <w:r>
        <w:rPr>
          <w:rFonts w:hint="eastAsia"/>
          <w:sz w:val="32"/>
          <w:szCs w:val="32"/>
          <w:highlight w:val="none"/>
          <w:lang w:val="en-US" w:eastAsia="zh-CN"/>
        </w:rPr>
        <w:t>362.78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万元，占总预算的</w:t>
      </w:r>
      <w:r>
        <w:rPr>
          <w:rFonts w:hint="eastAsia"/>
          <w:sz w:val="32"/>
          <w:szCs w:val="32"/>
          <w:highlight w:val="none"/>
          <w:lang w:val="en-US" w:eastAsia="zh-CN"/>
        </w:rPr>
        <w:t>15.37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%，同比增加</w:t>
      </w:r>
      <w:r>
        <w:rPr>
          <w:rFonts w:hint="eastAsia"/>
          <w:sz w:val="32"/>
          <w:szCs w:val="32"/>
          <w:highlight w:val="none"/>
          <w:lang w:val="en-US" w:eastAsia="zh-CN"/>
        </w:rPr>
        <w:t>11.67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万元，增加</w:t>
      </w:r>
      <w:r>
        <w:rPr>
          <w:rFonts w:hint="eastAsia"/>
          <w:sz w:val="32"/>
          <w:szCs w:val="32"/>
          <w:highlight w:val="none"/>
          <w:lang w:val="en-US" w:eastAsia="zh-CN"/>
        </w:rPr>
        <w:t>3.32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%。</w:t>
      </w:r>
    </w:p>
    <w:p>
      <w:pPr>
        <w:autoSpaceDE w:val="0"/>
        <w:autoSpaceDN w:val="0"/>
        <w:adjustRightInd w:val="0"/>
        <w:spacing w:line="586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（3）</w:t>
      </w:r>
      <w:r>
        <w:rPr>
          <w:rFonts w:hint="eastAsia"/>
          <w:sz w:val="32"/>
          <w:szCs w:val="32"/>
          <w:highlight w:val="none"/>
          <w:lang w:val="en-US" w:eastAsia="zh-CN"/>
        </w:rPr>
        <w:t>行政单位离退休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支出</w:t>
      </w:r>
      <w:r>
        <w:rPr>
          <w:rFonts w:hint="eastAsia"/>
          <w:sz w:val="32"/>
          <w:szCs w:val="32"/>
          <w:highlight w:val="none"/>
          <w:lang w:val="en-US" w:eastAsia="zh-CN"/>
        </w:rPr>
        <w:t>63.6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万元，占总预算的</w:t>
      </w:r>
      <w:r>
        <w:rPr>
          <w:rFonts w:hint="eastAsia"/>
          <w:sz w:val="32"/>
          <w:szCs w:val="32"/>
          <w:highlight w:val="none"/>
          <w:lang w:val="en-US" w:eastAsia="zh-CN"/>
        </w:rPr>
        <w:t>2.69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%，同比增加</w:t>
      </w:r>
      <w:r>
        <w:rPr>
          <w:rFonts w:hint="eastAsia"/>
          <w:sz w:val="32"/>
          <w:szCs w:val="32"/>
          <w:highlight w:val="none"/>
          <w:lang w:val="en-US" w:eastAsia="zh-CN"/>
        </w:rPr>
        <w:t>21.2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万元，增加</w:t>
      </w:r>
      <w:r>
        <w:rPr>
          <w:rFonts w:hint="eastAsia"/>
          <w:sz w:val="32"/>
          <w:szCs w:val="32"/>
          <w:highlight w:val="none"/>
          <w:lang w:val="en-US" w:eastAsia="zh-CN"/>
        </w:rPr>
        <w:t>50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%。</w:t>
      </w:r>
    </w:p>
    <w:p>
      <w:pPr>
        <w:autoSpaceDE w:val="0"/>
        <w:autoSpaceDN w:val="0"/>
        <w:adjustRightInd w:val="0"/>
        <w:spacing w:line="586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（4）</w:t>
      </w:r>
      <w:r>
        <w:rPr>
          <w:rFonts w:hint="eastAsia"/>
          <w:sz w:val="32"/>
          <w:szCs w:val="32"/>
          <w:highlight w:val="none"/>
          <w:lang w:val="en-US" w:eastAsia="zh-CN"/>
        </w:rPr>
        <w:t>机关事业单位基本养老保险缴费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支出</w:t>
      </w:r>
      <w:r>
        <w:rPr>
          <w:rFonts w:hint="eastAsia"/>
          <w:sz w:val="32"/>
          <w:szCs w:val="32"/>
          <w:highlight w:val="none"/>
          <w:lang w:val="en-US" w:eastAsia="zh-CN"/>
        </w:rPr>
        <w:t>178.41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万元，占总预算的</w:t>
      </w:r>
      <w:r>
        <w:rPr>
          <w:rFonts w:hint="eastAsia"/>
          <w:sz w:val="32"/>
          <w:szCs w:val="32"/>
          <w:highlight w:val="none"/>
          <w:lang w:val="en-US" w:eastAsia="zh-CN"/>
        </w:rPr>
        <w:t>7.56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%，同比增加</w:t>
      </w:r>
      <w:r>
        <w:rPr>
          <w:rFonts w:hint="eastAsia"/>
          <w:sz w:val="32"/>
          <w:szCs w:val="32"/>
          <w:highlight w:val="none"/>
          <w:lang w:val="en-US" w:eastAsia="zh-CN"/>
        </w:rPr>
        <w:t>34.65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万元，增加</w:t>
      </w:r>
      <w:r>
        <w:rPr>
          <w:rFonts w:hint="eastAsia"/>
          <w:sz w:val="32"/>
          <w:szCs w:val="32"/>
          <w:highlight w:val="none"/>
          <w:lang w:val="en-US" w:eastAsia="zh-CN"/>
        </w:rPr>
        <w:t>24.10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%。</w:t>
      </w:r>
    </w:p>
    <w:p>
      <w:pPr>
        <w:autoSpaceDE w:val="0"/>
        <w:autoSpaceDN w:val="0"/>
        <w:adjustRightInd w:val="0"/>
        <w:spacing w:line="586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（5）</w:t>
      </w:r>
      <w:r>
        <w:rPr>
          <w:rFonts w:hint="eastAsia"/>
          <w:sz w:val="32"/>
          <w:szCs w:val="32"/>
          <w:highlight w:val="none"/>
          <w:lang w:val="en-US" w:eastAsia="zh-CN"/>
        </w:rPr>
        <w:t>机关事业单位职业年金缴费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支出</w:t>
      </w:r>
      <w:r>
        <w:rPr>
          <w:rFonts w:hint="eastAsia"/>
          <w:sz w:val="32"/>
          <w:szCs w:val="32"/>
          <w:highlight w:val="none"/>
          <w:lang w:val="en-US" w:eastAsia="zh-CN"/>
        </w:rPr>
        <w:t>89.2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万元</w:t>
      </w:r>
      <w:r>
        <w:rPr>
          <w:rFonts w:hint="eastAsia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占总预算的</w:t>
      </w:r>
      <w:r>
        <w:rPr>
          <w:rFonts w:hint="eastAsia"/>
          <w:sz w:val="32"/>
          <w:szCs w:val="32"/>
          <w:highlight w:val="none"/>
          <w:lang w:val="en-US" w:eastAsia="zh-CN"/>
        </w:rPr>
        <w:t>3.78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%，同比</w:t>
      </w:r>
      <w:r>
        <w:rPr>
          <w:rFonts w:hint="eastAsia"/>
          <w:sz w:val="32"/>
          <w:szCs w:val="32"/>
          <w:highlight w:val="none"/>
          <w:lang w:val="en-US" w:eastAsia="zh-CN"/>
        </w:rPr>
        <w:t>增加17.32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万元，</w:t>
      </w:r>
      <w:r>
        <w:rPr>
          <w:rFonts w:hint="eastAsia"/>
          <w:sz w:val="32"/>
          <w:szCs w:val="32"/>
          <w:highlight w:val="none"/>
          <w:lang w:val="en-US" w:eastAsia="zh-CN"/>
        </w:rPr>
        <w:t>增加24.10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%。</w:t>
      </w:r>
    </w:p>
    <w:p>
      <w:pPr>
        <w:autoSpaceDE w:val="0"/>
        <w:autoSpaceDN w:val="0"/>
        <w:adjustRightInd w:val="0"/>
        <w:spacing w:line="586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（6）行政单位医疗支出102.58万元，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占总预算的</w:t>
      </w:r>
      <w:r>
        <w:rPr>
          <w:rFonts w:hint="eastAsia"/>
          <w:sz w:val="32"/>
          <w:szCs w:val="32"/>
          <w:highlight w:val="none"/>
          <w:lang w:val="en-US" w:eastAsia="zh-CN"/>
        </w:rPr>
        <w:t>4.35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%，同比</w:t>
      </w:r>
      <w:r>
        <w:rPr>
          <w:rFonts w:hint="eastAsia"/>
          <w:sz w:val="32"/>
          <w:szCs w:val="32"/>
          <w:highlight w:val="none"/>
          <w:lang w:val="en-US" w:eastAsia="zh-CN"/>
        </w:rPr>
        <w:t>增加19.92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万元，</w:t>
      </w:r>
      <w:r>
        <w:rPr>
          <w:rFonts w:hint="eastAsia"/>
          <w:sz w:val="32"/>
          <w:szCs w:val="32"/>
          <w:highlight w:val="none"/>
          <w:lang w:val="en-US" w:eastAsia="zh-CN"/>
        </w:rPr>
        <w:t>增加24.10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%。</w:t>
      </w:r>
    </w:p>
    <w:p>
      <w:pPr>
        <w:autoSpaceDE w:val="0"/>
        <w:autoSpaceDN w:val="0"/>
        <w:adjustRightInd w:val="0"/>
        <w:spacing w:line="586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（7）公务员医疗补助支出73.11万元，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占总预算的</w:t>
      </w:r>
      <w:r>
        <w:rPr>
          <w:rFonts w:hint="eastAsia"/>
          <w:sz w:val="32"/>
          <w:szCs w:val="32"/>
          <w:highlight w:val="none"/>
          <w:lang w:val="en-US" w:eastAsia="zh-CN"/>
        </w:rPr>
        <w:t>4.35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%，同比</w:t>
      </w:r>
      <w:r>
        <w:rPr>
          <w:rFonts w:hint="eastAsia"/>
          <w:sz w:val="32"/>
          <w:szCs w:val="32"/>
          <w:highlight w:val="none"/>
          <w:lang w:val="en-US" w:eastAsia="zh-CN"/>
        </w:rPr>
        <w:t>增加11.63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万元，</w:t>
      </w:r>
      <w:r>
        <w:rPr>
          <w:rFonts w:hint="eastAsia"/>
          <w:sz w:val="32"/>
          <w:szCs w:val="32"/>
          <w:highlight w:val="none"/>
          <w:lang w:val="en-US" w:eastAsia="zh-CN"/>
        </w:rPr>
        <w:t>增加18.92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%。</w:t>
      </w:r>
    </w:p>
    <w:p>
      <w:pPr>
        <w:autoSpaceDE w:val="0"/>
        <w:autoSpaceDN w:val="0"/>
        <w:adjustRightInd w:val="0"/>
        <w:spacing w:line="586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（8）其他巩固脱贫攻坚成果衔接乡村振兴支出1.5万元，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占总预算的</w:t>
      </w:r>
      <w:r>
        <w:rPr>
          <w:rFonts w:hint="eastAsia"/>
          <w:sz w:val="32"/>
          <w:szCs w:val="32"/>
          <w:highlight w:val="none"/>
          <w:lang w:val="en-US" w:eastAsia="zh-CN"/>
        </w:rPr>
        <w:t>0.06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%，</w:t>
      </w:r>
      <w:r>
        <w:rPr>
          <w:rFonts w:hint="eastAsia"/>
          <w:sz w:val="32"/>
          <w:szCs w:val="32"/>
          <w:highlight w:val="none"/>
          <w:lang w:val="en-US" w:eastAsia="zh-CN"/>
        </w:rPr>
        <w:t>与上年持平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。</w:t>
      </w:r>
    </w:p>
    <w:p>
      <w:pPr>
        <w:autoSpaceDE w:val="0"/>
        <w:autoSpaceDN w:val="0"/>
        <w:adjustRightInd w:val="0"/>
        <w:spacing w:line="586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（9）住房公积金支出133.81万元，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占总预算的</w:t>
      </w:r>
      <w:r>
        <w:rPr>
          <w:rFonts w:hint="eastAsia"/>
          <w:sz w:val="32"/>
          <w:szCs w:val="32"/>
          <w:highlight w:val="none"/>
          <w:lang w:val="en-US" w:eastAsia="zh-CN"/>
        </w:rPr>
        <w:t>5.67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%，同比</w:t>
      </w:r>
      <w:r>
        <w:rPr>
          <w:rFonts w:hint="eastAsia"/>
          <w:sz w:val="32"/>
          <w:szCs w:val="32"/>
          <w:highlight w:val="none"/>
          <w:lang w:val="en-US" w:eastAsia="zh-CN"/>
        </w:rPr>
        <w:t>增加25.99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万元，</w:t>
      </w:r>
      <w:r>
        <w:rPr>
          <w:rFonts w:hint="eastAsia"/>
          <w:sz w:val="32"/>
          <w:szCs w:val="32"/>
          <w:highlight w:val="none"/>
          <w:lang w:val="en-US" w:eastAsia="zh-CN"/>
        </w:rPr>
        <w:t>增加24.10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%。</w:t>
      </w:r>
    </w:p>
    <w:p>
      <w:pPr>
        <w:pStyle w:val="2"/>
        <w:ind w:firstLine="640" w:firstLineChars="200"/>
        <w:rPr>
          <w:rFonts w:hint="default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（10）其他法院支出0万元，同比减少372万元，减少100%。</w:t>
      </w:r>
    </w:p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pStyle w:val="2"/>
        <w:ind w:firstLine="480" w:firstLineChars="200"/>
        <w:rPr>
          <w:rFonts w:hint="default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</w:rPr>
      </w:pP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none"/>
        </w:rPr>
      </w:pPr>
      <w:r>
        <w:rPr>
          <w:rFonts w:hint="eastAsia" w:ascii="黑体" w:eastAsia="黑体"/>
          <w:szCs w:val="32"/>
          <w:highlight w:val="none"/>
        </w:rPr>
        <w:t>六、一般公共预算基本支出情况说明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/>
          <w:szCs w:val="32"/>
          <w:highlight w:val="none"/>
        </w:rPr>
      </w:pPr>
      <w:r>
        <w:rPr>
          <w:rFonts w:hint="eastAsia" w:ascii="仿宋_GB2312"/>
          <w:szCs w:val="32"/>
          <w:highlight w:val="none"/>
        </w:rPr>
        <w:t>我部门一般公共预算基本支出共</w:t>
      </w:r>
      <w:r>
        <w:rPr>
          <w:rFonts w:hint="eastAsia" w:ascii="仿宋_GB2312"/>
          <w:szCs w:val="32"/>
          <w:highlight w:val="none"/>
          <w:lang w:val="en-US" w:eastAsia="zh-CN"/>
        </w:rPr>
        <w:t>2246.13</w:t>
      </w:r>
      <w:r>
        <w:rPr>
          <w:rFonts w:hint="eastAsia" w:ascii="仿宋_GB2312"/>
          <w:szCs w:val="32"/>
          <w:highlight w:val="none"/>
        </w:rPr>
        <w:t>万元，较上年增长</w:t>
      </w:r>
      <w:r>
        <w:rPr>
          <w:rFonts w:hint="eastAsia" w:ascii="仿宋_GB2312"/>
          <w:szCs w:val="32"/>
          <w:highlight w:val="none"/>
          <w:lang w:val="en-US" w:eastAsia="zh-CN"/>
        </w:rPr>
        <w:t>17.88</w:t>
      </w:r>
      <w:r>
        <w:rPr>
          <w:rFonts w:hint="eastAsia" w:ascii="仿宋_GB2312"/>
          <w:szCs w:val="32"/>
          <w:highlight w:val="none"/>
        </w:rPr>
        <w:t>%，主要原因是</w:t>
      </w:r>
      <w:r>
        <w:rPr>
          <w:rFonts w:hint="eastAsia" w:ascii="仿宋_GB2312"/>
          <w:szCs w:val="32"/>
          <w:highlight w:val="none"/>
          <w:lang w:eastAsia="zh-CN"/>
        </w:rPr>
        <w:t>保险基数增加，保险增加</w:t>
      </w:r>
      <w:r>
        <w:rPr>
          <w:rFonts w:hint="eastAsia" w:ascii="仿宋_GB2312"/>
          <w:szCs w:val="32"/>
          <w:highlight w:val="none"/>
        </w:rPr>
        <w:t>。具体情况为：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Times New Roman" w:cs="Times New Roman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szCs w:val="32"/>
          <w:highlight w:val="none"/>
          <w:lang w:eastAsia="zh-CN"/>
        </w:rPr>
        <w:t>工资福利支出</w:t>
      </w:r>
      <w:r>
        <w:rPr>
          <w:rFonts w:hint="eastAsia" w:ascii="仿宋_GB2312" w:hAnsi="Times New Roman" w:cs="Times New Roman"/>
          <w:szCs w:val="32"/>
          <w:highlight w:val="none"/>
          <w:lang w:val="en-US" w:eastAsia="zh-CN"/>
        </w:rPr>
        <w:t>1929.08万元，同比增加325.22万元，增加20.28%，原因是保险基数增加；</w:t>
      </w:r>
      <w:r>
        <w:rPr>
          <w:rFonts w:hint="eastAsia" w:ascii="仿宋_GB2312" w:hAnsi="Times New Roman" w:cs="Times New Roman"/>
          <w:szCs w:val="32"/>
          <w:highlight w:val="none"/>
        </w:rPr>
        <w:t>主要包括：基本工资、津贴补贴、奖金、绩效工资、机关事业单位基本养老保险缴费、职业年金缴费、职工基本医疗保险缴费、公务员医疗补助缴费、其他社会保障缴费、住房公积金、其他工资福利支出；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Times New Roman" w:cs="Times New Roman"/>
          <w:szCs w:val="32"/>
          <w:highlight w:val="none"/>
        </w:rPr>
      </w:pPr>
      <w:r>
        <w:rPr>
          <w:rFonts w:hint="eastAsia" w:ascii="仿宋_GB2312" w:hAnsi="Times New Roman" w:cs="Times New Roman"/>
          <w:szCs w:val="32"/>
          <w:highlight w:val="none"/>
          <w:lang w:val="en-US" w:eastAsia="zh-CN"/>
        </w:rPr>
        <w:t>商品和服务支出245.18万元，同比减少6.53万元，减少2.59%，原因是压缩三公经费，节省开支；</w:t>
      </w:r>
      <w:r>
        <w:rPr>
          <w:rFonts w:hint="eastAsia" w:ascii="仿宋_GB2312" w:hAnsi="Times New Roman" w:cs="Times New Roman"/>
          <w:szCs w:val="32"/>
          <w:highlight w:val="none"/>
        </w:rPr>
        <w:t>主要包括：办公费、印刷费、水费、电费、邮电费、差旅费、维修（护）费、会议费、培训费、公务接待费、工会经费、福利费、公务用车运行维护费、其他交通费用、其他商品和服务支出；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Times New Roman" w:cs="Times New Roman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szCs w:val="32"/>
          <w:highlight w:val="none"/>
          <w:lang w:val="en-US" w:eastAsia="zh-CN"/>
        </w:rPr>
        <w:t>对个人和家庭的补助支出71.87万元，同比减少22.01万元，减少44.14%，原因是退休费增加；</w:t>
      </w:r>
      <w:r>
        <w:rPr>
          <w:rFonts w:hint="eastAsia" w:ascii="仿宋_GB2312" w:hAnsi="Times New Roman" w:cs="Times New Roman"/>
          <w:szCs w:val="32"/>
          <w:highlight w:val="none"/>
        </w:rPr>
        <w:t>主要包括：离休费、退休费、生活补助、医疗费补助。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none"/>
        </w:rPr>
      </w:pPr>
      <w:r>
        <w:rPr>
          <w:rFonts w:hint="eastAsia" w:ascii="黑体" w:eastAsia="黑体"/>
          <w:szCs w:val="32"/>
          <w:highlight w:val="none"/>
        </w:rPr>
        <w:t>七、一般公共预算“三公”经费支出情况说明</w:t>
      </w:r>
    </w:p>
    <w:p>
      <w:pPr>
        <w:tabs>
          <w:tab w:val="center" w:pos="4475"/>
        </w:tabs>
        <w:spacing w:line="560" w:lineRule="exact"/>
        <w:ind w:firstLine="645"/>
        <w:rPr>
          <w:rFonts w:ascii="仿宋_GB2312" w:hAnsi="宋体"/>
          <w:szCs w:val="32"/>
          <w:highlight w:val="none"/>
        </w:rPr>
      </w:pPr>
      <w:r>
        <w:rPr>
          <w:rFonts w:hint="eastAsia" w:ascii="仿宋_GB2312" w:hAnsi="宋体"/>
          <w:szCs w:val="32"/>
          <w:highlight w:val="none"/>
        </w:rPr>
        <w:t>我部门</w:t>
      </w:r>
      <w:r>
        <w:rPr>
          <w:rFonts w:hint="eastAsia" w:ascii="仿宋_GB2312"/>
          <w:highlight w:val="none"/>
        </w:rPr>
        <w:t>2024年一般公共预算</w:t>
      </w:r>
      <w:r>
        <w:rPr>
          <w:rFonts w:hint="eastAsia" w:ascii="仿宋_GB2312"/>
          <w:bCs/>
          <w:highlight w:val="none"/>
        </w:rPr>
        <w:t>安排的“三公”经费支出预算</w:t>
      </w:r>
      <w:r>
        <w:rPr>
          <w:rFonts w:hint="eastAsia" w:ascii="仿宋_GB2312"/>
          <w:bCs/>
          <w:highlight w:val="none"/>
          <w:lang w:val="en-US" w:eastAsia="zh-CN"/>
        </w:rPr>
        <w:t>38.18</w:t>
      </w:r>
      <w:r>
        <w:rPr>
          <w:rFonts w:hint="eastAsia" w:ascii="仿宋_GB2312"/>
          <w:bCs/>
          <w:highlight w:val="none"/>
        </w:rPr>
        <w:t>万元，同口径比2023年减少</w:t>
      </w:r>
      <w:r>
        <w:rPr>
          <w:rFonts w:hint="eastAsia" w:ascii="仿宋_GB2312"/>
          <w:bCs/>
          <w:highlight w:val="none"/>
          <w:lang w:val="en-US" w:eastAsia="zh-CN"/>
        </w:rPr>
        <w:t>3.84</w:t>
      </w:r>
      <w:r>
        <w:rPr>
          <w:rFonts w:hint="eastAsia" w:ascii="仿宋_GB2312"/>
          <w:bCs/>
          <w:highlight w:val="none"/>
        </w:rPr>
        <w:t>万元，下降</w:t>
      </w:r>
      <w:r>
        <w:rPr>
          <w:rFonts w:hint="eastAsia" w:ascii="仿宋_GB2312"/>
          <w:bCs/>
          <w:highlight w:val="none"/>
          <w:lang w:val="en-US" w:eastAsia="zh-CN"/>
        </w:rPr>
        <w:t>9.14</w:t>
      </w:r>
      <w:r>
        <w:rPr>
          <w:rFonts w:hint="eastAsia" w:ascii="仿宋_GB2312"/>
          <w:bCs/>
          <w:highlight w:val="none"/>
        </w:rPr>
        <w:t>%，具体如下：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/>
          <w:szCs w:val="32"/>
          <w:highlight w:val="none"/>
          <w:lang w:eastAsia="zh-CN"/>
        </w:rPr>
      </w:pPr>
      <w:r>
        <w:rPr>
          <w:rFonts w:hint="eastAsia" w:ascii="仿宋_GB2312"/>
          <w:highlight w:val="none"/>
        </w:rPr>
        <w:t>1.因公出国（境）费</w:t>
      </w:r>
      <w:r>
        <w:rPr>
          <w:rFonts w:hint="eastAsia" w:ascii="仿宋_GB2312" w:hAnsi="宋体"/>
          <w:szCs w:val="32"/>
          <w:highlight w:val="none"/>
        </w:rPr>
        <w:t>2024年预算安排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/>
          <w:szCs w:val="32"/>
          <w:highlight w:val="none"/>
        </w:rPr>
        <w:t>万元，</w:t>
      </w:r>
      <w:r>
        <w:rPr>
          <w:rFonts w:hint="eastAsia" w:ascii="仿宋_GB2312" w:hAnsi="宋体"/>
          <w:szCs w:val="32"/>
          <w:highlight w:val="none"/>
          <w:lang w:eastAsia="zh-CN"/>
        </w:rPr>
        <w:t>与上年持平。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 w:cs="Times New Roman"/>
          <w:szCs w:val="32"/>
          <w:highlight w:val="none"/>
        </w:rPr>
      </w:pPr>
      <w:r>
        <w:rPr>
          <w:rFonts w:hint="eastAsia" w:ascii="仿宋_GB2312"/>
          <w:highlight w:val="none"/>
        </w:rPr>
        <w:t>2.公务接待费</w:t>
      </w:r>
      <w:r>
        <w:rPr>
          <w:rFonts w:hint="eastAsia" w:ascii="仿宋_GB2312" w:hAnsi="宋体"/>
          <w:szCs w:val="32"/>
          <w:highlight w:val="none"/>
        </w:rPr>
        <w:t>2024年预算安排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2.01</w:t>
      </w:r>
      <w:r>
        <w:rPr>
          <w:rFonts w:hint="eastAsia" w:ascii="仿宋_GB2312" w:hAnsi="宋体"/>
          <w:szCs w:val="32"/>
          <w:highlight w:val="none"/>
        </w:rPr>
        <w:t>万元，比上年减少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0.5</w:t>
      </w:r>
      <w:r>
        <w:rPr>
          <w:rFonts w:hint="eastAsia" w:ascii="仿宋_GB2312" w:hAnsi="宋体"/>
          <w:szCs w:val="32"/>
          <w:highlight w:val="none"/>
        </w:rPr>
        <w:t>万元，下降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19.92</w:t>
      </w:r>
      <w:r>
        <w:rPr>
          <w:rFonts w:hint="eastAsia" w:ascii="仿宋_GB2312" w:hAnsi="宋体"/>
          <w:szCs w:val="32"/>
          <w:highlight w:val="none"/>
        </w:rPr>
        <w:t>%，</w:t>
      </w:r>
      <w:r>
        <w:rPr>
          <w:rFonts w:hint="eastAsia" w:ascii="仿宋_GB2312" w:hAnsi="宋体" w:cs="Times New Roman"/>
          <w:szCs w:val="32"/>
          <w:highlight w:val="none"/>
        </w:rPr>
        <w:t>减少的主要原因是主要原因是按照中央过紧日子的精神，进一步压缩开支。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 w:cs="Times New Roman"/>
          <w:szCs w:val="32"/>
          <w:highlight w:val="none"/>
        </w:rPr>
      </w:pPr>
      <w:r>
        <w:rPr>
          <w:rFonts w:hint="eastAsia" w:ascii="仿宋_GB2312" w:hAnsi="宋体" w:cs="Times New Roman"/>
          <w:szCs w:val="32"/>
          <w:highlight w:val="none"/>
        </w:rPr>
        <w:t>3.公务用车购置及运行费2024年预算安排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30.55</w:t>
      </w:r>
      <w:r>
        <w:rPr>
          <w:rFonts w:hint="eastAsia" w:ascii="仿宋_GB2312" w:hAnsi="宋体" w:cs="Times New Roman"/>
          <w:szCs w:val="32"/>
          <w:highlight w:val="none"/>
        </w:rPr>
        <w:t>万元，比上年减少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1.94</w:t>
      </w:r>
      <w:r>
        <w:rPr>
          <w:rFonts w:hint="eastAsia" w:ascii="仿宋_GB2312" w:hAnsi="宋体" w:cs="Times New Roman"/>
          <w:szCs w:val="32"/>
          <w:highlight w:val="none"/>
        </w:rPr>
        <w:t>万元，下降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5.97</w:t>
      </w:r>
      <w:r>
        <w:rPr>
          <w:rFonts w:hint="eastAsia" w:ascii="仿宋_GB2312" w:hAnsi="宋体" w:cs="Times New Roman"/>
          <w:szCs w:val="32"/>
          <w:highlight w:val="none"/>
        </w:rPr>
        <w:t>%，其中：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 w:cs="Times New Roman"/>
          <w:szCs w:val="32"/>
          <w:highlight w:val="none"/>
          <w:lang w:eastAsia="zh-CN"/>
        </w:rPr>
      </w:pPr>
      <w:r>
        <w:rPr>
          <w:rFonts w:hint="eastAsia" w:ascii="仿宋_GB2312" w:hAnsi="宋体" w:cs="Times New Roman"/>
          <w:szCs w:val="32"/>
          <w:highlight w:val="none"/>
        </w:rPr>
        <w:t>公务用车购置费2024年预算安排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cs="Times New Roman"/>
          <w:szCs w:val="32"/>
          <w:highlight w:val="none"/>
        </w:rPr>
        <w:t>万元，</w:t>
      </w:r>
      <w:r>
        <w:rPr>
          <w:rFonts w:hint="eastAsia" w:ascii="仿宋_GB2312" w:hAnsi="宋体" w:cs="Times New Roman"/>
          <w:szCs w:val="32"/>
          <w:highlight w:val="none"/>
          <w:lang w:eastAsia="zh-CN"/>
        </w:rPr>
        <w:t>与上年持平。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 w:cs="Times New Roman"/>
          <w:szCs w:val="32"/>
          <w:highlight w:val="none"/>
        </w:rPr>
      </w:pPr>
      <w:r>
        <w:rPr>
          <w:rFonts w:hint="eastAsia" w:ascii="仿宋_GB2312" w:hAnsi="宋体" w:cs="Times New Roman"/>
          <w:szCs w:val="32"/>
          <w:highlight w:val="none"/>
        </w:rPr>
        <w:t>公务用车运行维护费2024年预算安排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30.55</w:t>
      </w:r>
      <w:r>
        <w:rPr>
          <w:rFonts w:hint="eastAsia" w:ascii="仿宋_GB2312" w:hAnsi="宋体" w:cs="Times New Roman"/>
          <w:szCs w:val="32"/>
          <w:highlight w:val="none"/>
        </w:rPr>
        <w:t>万元，比上年减少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1.94</w:t>
      </w:r>
      <w:r>
        <w:rPr>
          <w:rFonts w:hint="eastAsia" w:ascii="仿宋_GB2312" w:hAnsi="宋体" w:cs="Times New Roman"/>
          <w:szCs w:val="32"/>
          <w:highlight w:val="none"/>
        </w:rPr>
        <w:t>万元，下降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5.97</w:t>
      </w:r>
      <w:r>
        <w:rPr>
          <w:rFonts w:hint="eastAsia" w:ascii="仿宋_GB2312" w:hAnsi="宋体" w:cs="Times New Roman"/>
          <w:szCs w:val="32"/>
          <w:highlight w:val="none"/>
        </w:rPr>
        <w:t>%，减少的主要原因主要原因是按照中央过紧日子的精神，进一步压缩开支。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none"/>
        </w:rPr>
      </w:pPr>
      <w:r>
        <w:rPr>
          <w:rFonts w:hint="eastAsia" w:ascii="黑体" w:eastAsia="黑体"/>
          <w:szCs w:val="32"/>
          <w:highlight w:val="none"/>
        </w:rPr>
        <w:t>八、政府性基金预算支出情况说明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Arial" w:cs="Arial"/>
          <w:kern w:val="0"/>
          <w:highlight w:val="none"/>
        </w:rPr>
      </w:pPr>
      <w:r>
        <w:rPr>
          <w:rFonts w:hint="eastAsia" w:ascii="仿宋_GB2312" w:hAnsi="Arial" w:cs="Arial"/>
          <w:kern w:val="0"/>
          <w:highlight w:val="none"/>
        </w:rPr>
        <w:t>我部门2024年部门预算无政府性基金预算。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none"/>
        </w:rPr>
      </w:pPr>
      <w:r>
        <w:rPr>
          <w:rFonts w:hint="eastAsia" w:ascii="黑体" w:eastAsia="黑体"/>
          <w:szCs w:val="32"/>
          <w:highlight w:val="none"/>
        </w:rPr>
        <w:t>九、国有资本经营预算支出情况说明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none"/>
        </w:rPr>
      </w:pPr>
      <w:r>
        <w:rPr>
          <w:rFonts w:hint="eastAsia" w:ascii="仿宋_GB2312" w:hAnsi="Arial" w:cs="Arial"/>
          <w:kern w:val="0"/>
          <w:highlight w:val="none"/>
        </w:rPr>
        <w:t>我部门2024年部门预算无国有资本经营预算。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none"/>
        </w:rPr>
      </w:pPr>
      <w:r>
        <w:rPr>
          <w:rFonts w:hint="eastAsia" w:ascii="黑体" w:eastAsia="黑体"/>
          <w:szCs w:val="32"/>
          <w:highlight w:val="none"/>
        </w:rPr>
        <w:t>十、其他重要事项情况说明</w:t>
      </w:r>
    </w:p>
    <w:p>
      <w:pPr>
        <w:tabs>
          <w:tab w:val="center" w:pos="4475"/>
        </w:tabs>
        <w:spacing w:line="560" w:lineRule="exact"/>
        <w:ind w:firstLine="645"/>
        <w:rPr>
          <w:rFonts w:ascii="楷体_GB2312" w:hAnsi="楷体_GB2312" w:eastAsia="楷体_GB2312" w:cs="楷体_GB231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Cs w:val="32"/>
          <w:highlight w:val="none"/>
        </w:rPr>
        <w:t>（一）机关运行经费安排情况说明</w:t>
      </w:r>
    </w:p>
    <w:p>
      <w:pPr>
        <w:autoSpaceDE w:val="0"/>
        <w:autoSpaceDN w:val="0"/>
        <w:adjustRightInd w:val="0"/>
        <w:spacing w:line="586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年部门机关运行经费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245.18</w:t>
      </w:r>
      <w:r>
        <w:rPr>
          <w:rFonts w:hint="eastAsia" w:ascii="仿宋_GB2312" w:eastAsia="仿宋_GB2312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/>
          <w:sz w:val="32"/>
          <w:szCs w:val="32"/>
          <w:highlight w:val="none"/>
          <w:lang w:eastAsia="zh-CN"/>
        </w:rPr>
        <w:t>占总预算的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10.39%，</w:t>
      </w:r>
      <w:r>
        <w:rPr>
          <w:rFonts w:hint="eastAsia" w:ascii="仿宋_GB2312"/>
          <w:sz w:val="32"/>
          <w:szCs w:val="32"/>
          <w:highlight w:val="none"/>
          <w:lang w:eastAsia="zh-CN"/>
        </w:rPr>
        <w:t>同比减少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6.53万元，下降2.59%，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具体包括：</w:t>
      </w:r>
    </w:p>
    <w:p>
      <w:pPr>
        <w:spacing w:line="560" w:lineRule="exact"/>
        <w:ind w:firstLine="640" w:firstLineChars="200"/>
        <w:rPr>
          <w:rFonts w:ascii="黑体" w:eastAsia="黑体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办公费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9.57</w:t>
      </w:r>
      <w:r>
        <w:rPr>
          <w:rFonts w:hint="eastAsia" w:ascii="仿宋_GB2312" w:eastAsia="仿宋_GB2312"/>
          <w:sz w:val="32"/>
          <w:szCs w:val="32"/>
          <w:highlight w:val="none"/>
        </w:rPr>
        <w:t>万元、印刷费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3.19</w:t>
      </w:r>
      <w:r>
        <w:rPr>
          <w:rFonts w:hint="eastAsia" w:ascii="仿宋_GB2312" w:eastAsia="仿宋_GB2312"/>
          <w:sz w:val="32"/>
          <w:szCs w:val="32"/>
          <w:highlight w:val="none"/>
        </w:rPr>
        <w:t>万元、水费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2.41万元</w:t>
      </w:r>
      <w:r>
        <w:rPr>
          <w:rFonts w:hint="eastAsia" w:ascii="仿宋_GB2312" w:eastAsia="仿宋_GB2312"/>
          <w:sz w:val="32"/>
          <w:szCs w:val="32"/>
          <w:highlight w:val="none"/>
        </w:rPr>
        <w:t>、电费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8.97</w:t>
      </w:r>
      <w:r>
        <w:rPr>
          <w:rFonts w:hint="eastAsia" w:ascii="仿宋_GB2312" w:eastAsia="仿宋_GB2312"/>
          <w:sz w:val="32"/>
          <w:szCs w:val="32"/>
          <w:highlight w:val="none"/>
        </w:rPr>
        <w:t>万元、邮电费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17.81</w:t>
      </w:r>
      <w:r>
        <w:rPr>
          <w:rFonts w:hint="eastAsia" w:ascii="仿宋_GB2312" w:eastAsia="仿宋_GB2312"/>
          <w:sz w:val="32"/>
          <w:szCs w:val="32"/>
          <w:highlight w:val="none"/>
        </w:rPr>
        <w:t>万元、差旅费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44.5</w:t>
      </w:r>
      <w:r>
        <w:rPr>
          <w:rFonts w:hint="eastAsia" w:ascii="仿宋_GB2312" w:eastAsia="仿宋_GB2312"/>
          <w:sz w:val="32"/>
          <w:szCs w:val="32"/>
          <w:highlight w:val="none"/>
        </w:rPr>
        <w:t>万元、维修（护）费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2.76</w:t>
      </w:r>
      <w:r>
        <w:rPr>
          <w:rFonts w:hint="eastAsia" w:ascii="仿宋_GB2312" w:eastAsia="仿宋_GB2312"/>
          <w:sz w:val="32"/>
          <w:szCs w:val="32"/>
          <w:highlight w:val="none"/>
        </w:rPr>
        <w:t>万元、会议费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2.81</w:t>
      </w:r>
      <w:r>
        <w:rPr>
          <w:rFonts w:hint="eastAsia" w:ascii="仿宋_GB2312" w:eastAsia="仿宋_GB2312"/>
          <w:sz w:val="32"/>
          <w:szCs w:val="32"/>
          <w:highlight w:val="none"/>
        </w:rPr>
        <w:t>万元、培训费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2.81</w:t>
      </w:r>
      <w:r>
        <w:rPr>
          <w:rFonts w:hint="eastAsia" w:ascii="仿宋_GB2312" w:eastAsia="仿宋_GB2312"/>
          <w:sz w:val="32"/>
          <w:szCs w:val="32"/>
          <w:highlight w:val="none"/>
        </w:rPr>
        <w:t>万元、公务接待费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仿宋_GB2312" w:eastAsia="仿宋_GB2312"/>
          <w:sz w:val="32"/>
          <w:szCs w:val="32"/>
          <w:highlight w:val="none"/>
        </w:rPr>
        <w:t>万元、工会经费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17.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  <w:highlight w:val="none"/>
        </w:rPr>
        <w:t>万元、福利费2.8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万元、公务用车运行维护费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30.55</w:t>
      </w:r>
      <w:r>
        <w:rPr>
          <w:rFonts w:hint="eastAsia" w:ascii="仿宋_GB2312" w:eastAsia="仿宋_GB2312"/>
          <w:sz w:val="32"/>
          <w:szCs w:val="32"/>
          <w:highlight w:val="none"/>
        </w:rPr>
        <w:t>万元、其他交通费用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79.08</w:t>
      </w:r>
      <w:r>
        <w:rPr>
          <w:rFonts w:hint="eastAsia" w:ascii="仿宋_GB2312" w:eastAsia="仿宋_GB2312"/>
          <w:sz w:val="32"/>
          <w:szCs w:val="32"/>
          <w:highlight w:val="none"/>
        </w:rPr>
        <w:t>万元、其他商品和服务支出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18.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61</w:t>
      </w:r>
      <w:r>
        <w:rPr>
          <w:rFonts w:hint="eastAsia" w:ascii="仿宋_GB2312" w:eastAsia="仿宋_GB2312"/>
          <w:sz w:val="32"/>
          <w:szCs w:val="32"/>
          <w:highlight w:val="none"/>
        </w:rPr>
        <w:t>万元。</w:t>
      </w:r>
    </w:p>
    <w:p>
      <w:pPr>
        <w:tabs>
          <w:tab w:val="center" w:pos="4475"/>
        </w:tabs>
        <w:spacing w:line="560" w:lineRule="exact"/>
        <w:ind w:firstLine="645"/>
        <w:rPr>
          <w:rFonts w:ascii="楷体_GB2312" w:hAnsi="楷体_GB2312" w:eastAsia="楷体_GB2312" w:cs="楷体_GB2312"/>
          <w:kern w:val="0"/>
          <w:highlight w:val="none"/>
        </w:rPr>
      </w:pPr>
      <w:r>
        <w:rPr>
          <w:rFonts w:hint="eastAsia" w:ascii="楷体_GB2312" w:hAnsi="楷体_GB2312" w:eastAsia="楷体_GB2312" w:cs="楷体_GB2312"/>
          <w:szCs w:val="32"/>
          <w:highlight w:val="none"/>
        </w:rPr>
        <w:t>（二）</w:t>
      </w:r>
      <w:r>
        <w:rPr>
          <w:rFonts w:hint="eastAsia" w:ascii="楷体_GB2312" w:hAnsi="楷体_GB2312" w:eastAsia="楷体_GB2312" w:cs="楷体_GB2312"/>
          <w:kern w:val="0"/>
          <w:highlight w:val="none"/>
        </w:rPr>
        <w:t>政府采购预算安排情况说明</w:t>
      </w:r>
    </w:p>
    <w:p>
      <w:pPr>
        <w:tabs>
          <w:tab w:val="center" w:pos="4475"/>
        </w:tabs>
        <w:spacing w:line="560" w:lineRule="exact"/>
        <w:ind w:firstLine="645"/>
        <w:rPr>
          <w:rFonts w:hint="default" w:ascii="黑体" w:hAnsi="Arial" w:eastAsia="仿宋_GB2312" w:cs="Arial"/>
          <w:kern w:val="0"/>
          <w:highlight w:val="none"/>
          <w:lang w:val="en-US" w:eastAsia="zh-CN"/>
        </w:rPr>
      </w:pPr>
      <w:r>
        <w:rPr>
          <w:rFonts w:hint="eastAsia" w:ascii="仿宋_GB2312" w:hAnsi="宋体"/>
          <w:szCs w:val="32"/>
          <w:highlight w:val="none"/>
        </w:rPr>
        <w:t>我部门2024年政府采购预算总金额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90.55</w:t>
      </w:r>
      <w:r>
        <w:rPr>
          <w:rFonts w:hint="eastAsia" w:ascii="仿宋_GB2312" w:hAnsi="宋体"/>
          <w:szCs w:val="32"/>
          <w:highlight w:val="none"/>
        </w:rPr>
        <w:t>万元。其中：货物类采购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/>
          <w:szCs w:val="32"/>
          <w:highlight w:val="none"/>
        </w:rPr>
        <w:t>万元、工程类采购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/>
          <w:szCs w:val="32"/>
          <w:highlight w:val="none"/>
        </w:rPr>
        <w:t>万元、服务类采购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90.55</w:t>
      </w:r>
      <w:r>
        <w:rPr>
          <w:rFonts w:hint="eastAsia" w:ascii="仿宋_GB2312" w:hAnsi="宋体"/>
          <w:szCs w:val="32"/>
          <w:highlight w:val="none"/>
        </w:rPr>
        <w:t>万元。</w:t>
      </w:r>
    </w:p>
    <w:p>
      <w:pPr>
        <w:tabs>
          <w:tab w:val="center" w:pos="4475"/>
        </w:tabs>
        <w:spacing w:line="560" w:lineRule="exact"/>
        <w:ind w:firstLine="645"/>
        <w:rPr>
          <w:rFonts w:ascii="楷体_GB2312" w:hAnsi="楷体_GB2312" w:eastAsia="楷体_GB2312" w:cs="楷体_GB2312"/>
          <w:kern w:val="0"/>
          <w:highlight w:val="none"/>
        </w:rPr>
      </w:pPr>
      <w:r>
        <w:rPr>
          <w:rFonts w:hint="eastAsia" w:ascii="楷体_GB2312" w:hAnsi="楷体_GB2312" w:eastAsia="楷体_GB2312" w:cs="楷体_GB2312"/>
          <w:kern w:val="0"/>
          <w:highlight w:val="none"/>
        </w:rPr>
        <w:t>（三）国有资产占用情况说明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 w:cs="Times New Roman"/>
          <w:szCs w:val="32"/>
          <w:highlight w:val="none"/>
          <w:lang w:val="en-US" w:eastAsia="zh-CN"/>
        </w:rPr>
      </w:pPr>
      <w:r>
        <w:rPr>
          <w:rFonts w:hint="eastAsia" w:ascii="仿宋_GB2312" w:hAnsi="宋体" w:cs="Times New Roman"/>
          <w:szCs w:val="32"/>
          <w:highlight w:val="none"/>
          <w:lang w:eastAsia="zh-CN"/>
        </w:rPr>
        <w:t>截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至</w:t>
      </w:r>
      <w:bookmarkStart w:id="0" w:name="_GoBack"/>
      <w:bookmarkEnd w:id="0"/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2023年12月31日，本部门总资产11263.68万元，其中：流动资产111.88万元，占资产总额0.99%；固定资产1912.40万元，占资产总额16.98%；在建工程2386.65万元，占资产总额21.19%；无形资产0万元，受托代理资产6852.75万元，占资产总额60.84%；其他资产0万元。</w:t>
      </w:r>
    </w:p>
    <w:p>
      <w:pPr>
        <w:tabs>
          <w:tab w:val="center" w:pos="4475"/>
        </w:tabs>
        <w:spacing w:line="560" w:lineRule="exact"/>
        <w:ind w:firstLine="645"/>
        <w:rPr>
          <w:rFonts w:ascii="楷体_GB2312" w:hAnsi="楷体_GB2312" w:eastAsia="楷体_GB2312" w:cs="楷体_GB231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Cs w:val="32"/>
          <w:highlight w:val="none"/>
        </w:rPr>
        <w:t>（四）预算绩效目标情况说明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Times New Roman" w:cs="Times New Roman"/>
          <w:szCs w:val="32"/>
          <w:highlight w:val="none"/>
          <w:lang w:val="en-US" w:eastAsia="zh-CN"/>
        </w:rPr>
      </w:pPr>
      <w:r>
        <w:rPr>
          <w:rFonts w:hint="eastAsia" w:ascii="仿宋_GB2312"/>
          <w:szCs w:val="32"/>
          <w:highlight w:val="none"/>
        </w:rPr>
        <w:t>1.</w:t>
      </w:r>
      <w:r>
        <w:rPr>
          <w:rFonts w:hint="eastAsia" w:ascii="仿宋_GB2312" w:hAnsi="Times New Roman" w:cs="Times New Roman"/>
          <w:szCs w:val="32"/>
          <w:highlight w:val="none"/>
        </w:rPr>
        <w:t>我部门2024年所有项目支出全面实施绩效目标管理，涉及市本级项目</w:t>
      </w:r>
      <w:r>
        <w:rPr>
          <w:rFonts w:hint="eastAsia" w:ascii="仿宋_GB2312" w:hAnsi="Times New Roman" w:cs="Times New Roman"/>
          <w:szCs w:val="32"/>
          <w:highlight w:val="none"/>
          <w:lang w:val="en-US" w:eastAsia="zh-CN"/>
        </w:rPr>
        <w:t>3</w:t>
      </w:r>
      <w:r>
        <w:rPr>
          <w:rFonts w:hint="eastAsia" w:ascii="仿宋_GB2312" w:hAnsi="Times New Roman" w:cs="Times New Roman"/>
          <w:szCs w:val="32"/>
          <w:highlight w:val="none"/>
        </w:rPr>
        <w:t>个，预算资金</w:t>
      </w:r>
      <w:r>
        <w:rPr>
          <w:rFonts w:hint="eastAsia" w:ascii="仿宋_GB2312" w:hAnsi="Times New Roman" w:cs="Times New Roman"/>
          <w:szCs w:val="32"/>
          <w:highlight w:val="none"/>
          <w:lang w:val="en-US" w:eastAsia="zh-CN"/>
        </w:rPr>
        <w:t>114.5</w:t>
      </w:r>
      <w:r>
        <w:rPr>
          <w:rFonts w:hint="eastAsia" w:ascii="仿宋_GB2312" w:hAnsi="Times New Roman" w:cs="Times New Roman"/>
          <w:szCs w:val="32"/>
          <w:highlight w:val="none"/>
        </w:rPr>
        <w:t>万元；对下转移支付项目</w:t>
      </w:r>
      <w:r>
        <w:rPr>
          <w:rFonts w:hint="eastAsia" w:ascii="仿宋_GB2312" w:hAnsi="Times New Roman" w:cs="Times New Roman"/>
          <w:szCs w:val="32"/>
          <w:highlight w:val="none"/>
          <w:lang w:val="en-US" w:eastAsia="zh-CN"/>
        </w:rPr>
        <w:t>0</w:t>
      </w:r>
      <w:r>
        <w:rPr>
          <w:rFonts w:hint="eastAsia" w:ascii="仿宋_GB2312" w:hAnsi="Times New Roman" w:cs="Times New Roman"/>
          <w:szCs w:val="32"/>
          <w:highlight w:val="none"/>
        </w:rPr>
        <w:t>个。绩效目标情况详见预算公开报表-表13</w:t>
      </w:r>
      <w:r>
        <w:rPr>
          <w:rFonts w:hint="eastAsia" w:ascii="仿宋_GB2312" w:hAnsi="Times New Roman" w:cs="Times New Roman"/>
          <w:szCs w:val="32"/>
          <w:highlight w:val="none"/>
          <w:lang w:eastAsia="zh-CN"/>
        </w:rPr>
        <w:t>。</w:t>
      </w:r>
    </w:p>
    <w:p>
      <w:pPr>
        <w:tabs>
          <w:tab w:val="center" w:pos="4475"/>
        </w:tabs>
        <w:spacing w:line="560" w:lineRule="exact"/>
        <w:ind w:firstLine="645"/>
        <w:rPr>
          <w:rFonts w:ascii="仿宋_GB2312"/>
          <w:szCs w:val="32"/>
          <w:highlight w:val="none"/>
        </w:rPr>
      </w:pPr>
      <w:r>
        <w:rPr>
          <w:rFonts w:hint="eastAsia" w:ascii="仿宋_GB2312"/>
          <w:szCs w:val="32"/>
          <w:highlight w:val="none"/>
        </w:rPr>
        <w:t>2.重点项目预算绩效目标说明。</w:t>
      </w:r>
    </w:p>
    <w:p>
      <w:pPr>
        <w:tabs>
          <w:tab w:val="center" w:pos="4475"/>
        </w:tabs>
        <w:spacing w:line="560" w:lineRule="exact"/>
        <w:ind w:firstLine="645"/>
        <w:rPr>
          <w:rFonts w:ascii="仿宋_GB2312" w:hAnsi="宋体"/>
          <w:szCs w:val="32"/>
          <w:highlight w:val="none"/>
        </w:rPr>
      </w:pPr>
      <w:r>
        <w:rPr>
          <w:rFonts w:hint="eastAsia" w:ascii="仿宋_GB2312" w:hAnsi="宋体"/>
          <w:szCs w:val="32"/>
          <w:highlight w:val="none"/>
        </w:rPr>
        <w:t>重点项目一：项目名称</w:t>
      </w:r>
      <w:r>
        <w:rPr>
          <w:rFonts w:hint="eastAsia" w:ascii="仿宋_GB2312" w:hAnsi="宋体"/>
          <w:szCs w:val="32"/>
          <w:highlight w:val="none"/>
          <w:lang w:eastAsia="zh-CN"/>
        </w:rPr>
        <w:t>荔浦市人民法院物业管理</w:t>
      </w:r>
      <w:r>
        <w:rPr>
          <w:rFonts w:hint="eastAsia" w:ascii="仿宋_GB2312" w:hAnsi="宋体"/>
          <w:szCs w:val="32"/>
          <w:highlight w:val="none"/>
        </w:rPr>
        <w:t>，预算资金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60</w:t>
      </w:r>
      <w:r>
        <w:rPr>
          <w:rFonts w:hint="eastAsia" w:ascii="仿宋_GB2312" w:hAnsi="宋体"/>
          <w:szCs w:val="32"/>
          <w:highlight w:val="none"/>
        </w:rPr>
        <w:t>万元，2024年度绩效目标为</w:t>
      </w:r>
      <w:r>
        <w:rPr>
          <w:rFonts w:hint="eastAsia" w:ascii="仿宋_GB2312" w:hAnsi="宋体"/>
          <w:szCs w:val="32"/>
          <w:highlight w:val="none"/>
          <w:lang w:eastAsia="zh-CN"/>
        </w:rPr>
        <w:t>提高后勤保障服务质量，扎实推进我院后勤保障服务的正常运行</w:t>
      </w:r>
      <w:r>
        <w:rPr>
          <w:rFonts w:hint="eastAsia" w:ascii="仿宋_GB2312" w:hAnsi="宋体"/>
          <w:szCs w:val="32"/>
          <w:highlight w:val="none"/>
        </w:rPr>
        <w:t>，设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/>
          <w:szCs w:val="32"/>
          <w:highlight w:val="none"/>
        </w:rPr>
        <w:t>条数量指标：数量指标1.</w:t>
      </w:r>
      <w:r>
        <w:rPr>
          <w:rFonts w:hint="eastAsia" w:ascii="仿宋_GB2312" w:hAnsi="宋体"/>
          <w:szCs w:val="32"/>
          <w:highlight w:val="none"/>
          <w:lang w:eastAsia="zh-CN"/>
        </w:rPr>
        <w:t>服务人数</w:t>
      </w:r>
      <w:r>
        <w:rPr>
          <w:rFonts w:hint="eastAsia" w:ascii="仿宋_GB2312" w:hAnsi="宋体" w:cs="Times New Roman"/>
          <w:szCs w:val="32"/>
          <w:highlight w:val="none"/>
          <w:lang w:eastAsia="zh-CN"/>
        </w:rPr>
        <w:t>数量≥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130人</w:t>
      </w:r>
      <w:r>
        <w:rPr>
          <w:rFonts w:hint="eastAsia" w:ascii="仿宋_GB2312" w:hAnsi="宋体"/>
          <w:szCs w:val="32"/>
          <w:highlight w:val="none"/>
        </w:rPr>
        <w:t>；设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/>
          <w:szCs w:val="32"/>
          <w:highlight w:val="none"/>
        </w:rPr>
        <w:t>条质量指标：质量指标1.</w:t>
      </w:r>
      <w:r>
        <w:rPr>
          <w:rFonts w:hint="eastAsia" w:ascii="仿宋_GB2312" w:hAnsi="宋体"/>
          <w:szCs w:val="32"/>
          <w:highlight w:val="none"/>
          <w:lang w:eastAsia="zh-CN"/>
        </w:rPr>
        <w:t>保洁、绿</w:t>
      </w:r>
      <w:r>
        <w:rPr>
          <w:rFonts w:hint="eastAsia" w:ascii="仿宋_GB2312" w:hAnsi="宋体" w:cs="Times New Roman"/>
          <w:szCs w:val="32"/>
          <w:highlight w:val="none"/>
          <w:lang w:eastAsia="zh-CN"/>
        </w:rPr>
        <w:t>化等完成质量≥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85%</w:t>
      </w:r>
      <w:r>
        <w:rPr>
          <w:rFonts w:hint="eastAsia" w:ascii="仿宋_GB2312" w:hAnsi="宋体"/>
          <w:szCs w:val="32"/>
          <w:highlight w:val="none"/>
        </w:rPr>
        <w:t>；设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/>
          <w:szCs w:val="32"/>
          <w:highlight w:val="none"/>
        </w:rPr>
        <w:t>条时效指标：时效指标1.</w:t>
      </w:r>
      <w:r>
        <w:rPr>
          <w:rFonts w:hint="eastAsia" w:ascii="仿宋_GB2312" w:hAnsi="宋体"/>
          <w:szCs w:val="32"/>
          <w:highlight w:val="none"/>
          <w:lang w:eastAsia="zh-CN"/>
        </w:rPr>
        <w:t>卫生保洁及时率</w:t>
      </w:r>
      <w:r>
        <w:rPr>
          <w:rFonts w:hint="eastAsia" w:ascii="仿宋_GB2312" w:hAnsi="宋体"/>
          <w:szCs w:val="32"/>
          <w:highlight w:val="none"/>
        </w:rPr>
        <w:t>,</w:t>
      </w:r>
      <w:r>
        <w:rPr>
          <w:rFonts w:hint="eastAsia" w:ascii="仿宋_GB2312" w:hAnsi="宋体"/>
          <w:szCs w:val="32"/>
          <w:highlight w:val="none"/>
          <w:lang w:eastAsia="zh-CN"/>
        </w:rPr>
        <w:t>每日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16点之前完成；</w:t>
      </w:r>
      <w:r>
        <w:rPr>
          <w:rFonts w:hint="eastAsia" w:ascii="仿宋_GB2312" w:hAnsi="宋体"/>
          <w:szCs w:val="32"/>
          <w:highlight w:val="none"/>
        </w:rPr>
        <w:t>设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/>
          <w:szCs w:val="32"/>
          <w:highlight w:val="none"/>
        </w:rPr>
        <w:t>条成本指标：成本指标1.</w:t>
      </w:r>
      <w:r>
        <w:rPr>
          <w:rFonts w:hint="eastAsia" w:ascii="仿宋_GB2312" w:hAnsi="宋体"/>
          <w:szCs w:val="32"/>
          <w:highlight w:val="none"/>
          <w:lang w:eastAsia="zh-CN"/>
        </w:rPr>
        <w:t>财政拨款≤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60万元</w:t>
      </w:r>
      <w:r>
        <w:rPr>
          <w:rFonts w:hint="eastAsia" w:ascii="仿宋_GB2312" w:hAnsi="宋体"/>
          <w:szCs w:val="32"/>
          <w:highlight w:val="none"/>
        </w:rPr>
        <w:t>；设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/>
          <w:szCs w:val="32"/>
          <w:highlight w:val="none"/>
        </w:rPr>
        <w:t>条</w:t>
      </w:r>
      <w:r>
        <w:rPr>
          <w:rFonts w:hint="eastAsia" w:ascii="仿宋_GB2312" w:hAnsi="宋体"/>
          <w:szCs w:val="32"/>
          <w:highlight w:val="none"/>
          <w:lang w:eastAsia="zh-CN"/>
        </w:rPr>
        <w:t>社会</w:t>
      </w:r>
      <w:r>
        <w:rPr>
          <w:rFonts w:hint="eastAsia" w:ascii="仿宋_GB2312" w:hAnsi="宋体"/>
          <w:szCs w:val="32"/>
          <w:highlight w:val="none"/>
        </w:rPr>
        <w:t>效益指标：</w:t>
      </w:r>
      <w:r>
        <w:rPr>
          <w:rFonts w:hint="eastAsia" w:ascii="仿宋_GB2312" w:hAnsi="宋体"/>
          <w:szCs w:val="32"/>
          <w:highlight w:val="none"/>
          <w:lang w:eastAsia="zh-CN"/>
        </w:rPr>
        <w:t>社会</w:t>
      </w:r>
      <w:r>
        <w:rPr>
          <w:rFonts w:hint="eastAsia" w:ascii="仿宋_GB2312" w:hAnsi="宋体"/>
          <w:szCs w:val="32"/>
          <w:highlight w:val="none"/>
        </w:rPr>
        <w:t>效益指标1.</w:t>
      </w:r>
      <w:r>
        <w:rPr>
          <w:rFonts w:hint="eastAsia" w:ascii="仿宋_GB2312" w:hAnsi="宋体"/>
          <w:szCs w:val="32"/>
          <w:highlight w:val="none"/>
          <w:lang w:eastAsia="zh-CN"/>
        </w:rPr>
        <w:t>对办公环境的改善或者提升程度较高；</w:t>
      </w:r>
      <w:r>
        <w:rPr>
          <w:rFonts w:hint="eastAsia" w:ascii="仿宋_GB2312" w:hAnsi="宋体"/>
          <w:szCs w:val="32"/>
          <w:highlight w:val="none"/>
        </w:rPr>
        <w:t>设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/>
          <w:szCs w:val="32"/>
          <w:highlight w:val="none"/>
        </w:rPr>
        <w:t>条满意度指标：满意度指标1.</w:t>
      </w:r>
      <w:r>
        <w:rPr>
          <w:rFonts w:hint="eastAsia" w:ascii="仿宋_GB2312" w:hAnsi="宋体"/>
          <w:szCs w:val="32"/>
          <w:highlight w:val="none"/>
          <w:lang w:eastAsia="zh-CN"/>
        </w:rPr>
        <w:t>干警满意度≥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85%</w:t>
      </w:r>
      <w:r>
        <w:rPr>
          <w:rFonts w:hint="eastAsia" w:ascii="仿宋_GB2312" w:hAnsi="宋体"/>
          <w:szCs w:val="32"/>
          <w:highlight w:val="none"/>
        </w:rPr>
        <w:t>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none"/>
        </w:rPr>
      </w:pP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none"/>
        </w:rPr>
      </w:pPr>
      <w:r>
        <w:rPr>
          <w:rFonts w:hint="eastAsia" w:ascii="黑体" w:eastAsia="黑体"/>
          <w:szCs w:val="32"/>
          <w:highlight w:val="none"/>
        </w:rPr>
        <w:t>第三部分：名词解释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 w:cs="Times New Roman"/>
          <w:szCs w:val="32"/>
          <w:highlight w:val="none"/>
          <w:lang w:eastAsia="zh-CN"/>
        </w:rPr>
      </w:pPr>
      <w:r>
        <w:rPr>
          <w:rFonts w:hint="eastAsia" w:ascii="仿宋_GB2312" w:hAnsi="宋体" w:cs="Times New Roman"/>
          <w:szCs w:val="32"/>
          <w:highlight w:val="none"/>
          <w:lang w:eastAsia="zh-CN"/>
        </w:rPr>
        <w:t>一、行政运行（法院）：主要核算法院在职在编人员工资，以及按在编人员数核算的公用经费。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 w:cs="Times New Roman"/>
          <w:szCs w:val="32"/>
          <w:highlight w:val="none"/>
          <w:lang w:eastAsia="zh-CN"/>
        </w:rPr>
      </w:pPr>
      <w:r>
        <w:rPr>
          <w:rFonts w:hint="eastAsia" w:ascii="仿宋_GB2312" w:hAnsi="宋体" w:cs="Times New Roman"/>
          <w:szCs w:val="32"/>
          <w:highlight w:val="none"/>
          <w:lang w:eastAsia="zh-CN"/>
        </w:rPr>
        <w:t>二、一般行政管理事务（法院）：主要核算定额外的法院公用经费。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 w:cs="Times New Roman"/>
          <w:szCs w:val="32"/>
          <w:highlight w:val="none"/>
          <w:lang w:eastAsia="zh-CN"/>
        </w:rPr>
      </w:pPr>
      <w:r>
        <w:rPr>
          <w:rFonts w:hint="eastAsia" w:ascii="仿宋_GB2312" w:hAnsi="宋体" w:cs="Times New Roman"/>
          <w:szCs w:val="32"/>
          <w:highlight w:val="none"/>
          <w:lang w:eastAsia="zh-CN"/>
        </w:rPr>
        <w:t>三、行政单位医疗：核算法院在职在编干警医疗保险。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 w:cs="Times New Roman"/>
          <w:szCs w:val="32"/>
          <w:highlight w:val="none"/>
          <w:lang w:eastAsia="zh-CN"/>
        </w:rPr>
      </w:pPr>
      <w:r>
        <w:rPr>
          <w:rFonts w:hint="eastAsia" w:ascii="仿宋_GB2312" w:hAnsi="宋体" w:cs="Times New Roman"/>
          <w:szCs w:val="32"/>
          <w:highlight w:val="none"/>
          <w:lang w:eastAsia="zh-CN"/>
        </w:rPr>
        <w:t>四、公务员医疗补助：核算法院在职在编干警公务员医疗补助。</w:t>
      </w:r>
    </w:p>
    <w:p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 w:cs="Times New Roman"/>
          <w:szCs w:val="32"/>
          <w:highlight w:val="none"/>
          <w:lang w:eastAsia="zh-CN"/>
        </w:rPr>
      </w:pPr>
      <w:r>
        <w:rPr>
          <w:rFonts w:hint="eastAsia" w:ascii="仿宋_GB2312" w:hAnsi="宋体" w:cs="Times New Roman"/>
          <w:szCs w:val="32"/>
          <w:highlight w:val="none"/>
          <w:lang w:eastAsia="zh-CN"/>
        </w:rPr>
        <w:t>五、住房公积金：核算法院在职在编干警住房公积金。</w:t>
      </w: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none"/>
        </w:rPr>
      </w:pPr>
    </w:p>
    <w:p>
      <w:pPr>
        <w:tabs>
          <w:tab w:val="center" w:pos="4475"/>
        </w:tabs>
        <w:spacing w:line="560" w:lineRule="exact"/>
        <w:ind w:firstLine="645"/>
        <w:rPr>
          <w:rFonts w:ascii="黑体" w:eastAsia="黑体"/>
          <w:szCs w:val="32"/>
          <w:highlight w:val="none"/>
        </w:rPr>
      </w:pPr>
      <w:r>
        <w:rPr>
          <w:rFonts w:hint="eastAsia" w:ascii="黑体" w:eastAsia="黑体"/>
          <w:szCs w:val="32"/>
          <w:highlight w:val="none"/>
        </w:rPr>
        <w:t>第四部分：</w:t>
      </w:r>
      <w:r>
        <w:rPr>
          <w:rFonts w:hint="eastAsia" w:ascii="黑体" w:hAnsi="宋体" w:eastAsia="黑体"/>
          <w:szCs w:val="32"/>
          <w:highlight w:val="none"/>
        </w:rPr>
        <w:t>××部门（单位）2024年</w:t>
      </w:r>
      <w:r>
        <w:rPr>
          <w:rFonts w:hint="eastAsia" w:ascii="黑体" w:eastAsia="黑体"/>
          <w:szCs w:val="32"/>
          <w:highlight w:val="none"/>
        </w:rPr>
        <w:t>部门预算报表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  <w:highlight w:val="none"/>
        </w:rPr>
      </w:pPr>
      <w:r>
        <w:rPr>
          <w:szCs w:val="32"/>
          <w:highlight w:val="none"/>
        </w:rPr>
        <w:t>一、部门收支总体情况表（表1）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  <w:highlight w:val="none"/>
        </w:rPr>
      </w:pPr>
      <w:r>
        <w:rPr>
          <w:szCs w:val="32"/>
          <w:highlight w:val="none"/>
        </w:rPr>
        <w:t>二、部门收入总体情况表（表2）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  <w:highlight w:val="none"/>
        </w:rPr>
      </w:pPr>
      <w:r>
        <w:rPr>
          <w:szCs w:val="32"/>
          <w:highlight w:val="none"/>
        </w:rPr>
        <w:t>三、部门支出总体情况表（表3）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  <w:highlight w:val="none"/>
        </w:rPr>
      </w:pPr>
      <w:r>
        <w:rPr>
          <w:szCs w:val="32"/>
          <w:highlight w:val="none"/>
        </w:rPr>
        <w:t>四、财政拨款收支总体情况表（表4）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  <w:highlight w:val="none"/>
        </w:rPr>
      </w:pPr>
      <w:r>
        <w:rPr>
          <w:szCs w:val="32"/>
          <w:highlight w:val="none"/>
        </w:rPr>
        <w:t>五、一般公共预算支出情况表（表5）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  <w:highlight w:val="none"/>
        </w:rPr>
      </w:pPr>
      <w:r>
        <w:rPr>
          <w:szCs w:val="32"/>
          <w:highlight w:val="none"/>
        </w:rPr>
        <w:t>六、一般公共预算基本支出情况表（表6）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  <w:highlight w:val="none"/>
        </w:rPr>
      </w:pPr>
      <w:r>
        <w:rPr>
          <w:szCs w:val="32"/>
          <w:highlight w:val="none"/>
        </w:rPr>
        <w:t>七、一般公共预算“三公”经费支出情况表（表7）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  <w:highlight w:val="none"/>
        </w:rPr>
      </w:pPr>
      <w:r>
        <w:rPr>
          <w:szCs w:val="32"/>
          <w:highlight w:val="none"/>
        </w:rPr>
        <w:t>八、政府性基金预算支出情况表（表8）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  <w:highlight w:val="none"/>
        </w:rPr>
      </w:pPr>
      <w:r>
        <w:rPr>
          <w:szCs w:val="32"/>
          <w:highlight w:val="none"/>
        </w:rPr>
        <w:t>九、国有资本经营预算支出表（表9）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  <w:highlight w:val="none"/>
        </w:rPr>
      </w:pPr>
      <w:r>
        <w:rPr>
          <w:szCs w:val="32"/>
          <w:highlight w:val="none"/>
        </w:rPr>
        <w:t>十、政府采购预算表（表10）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  <w:highlight w:val="none"/>
        </w:rPr>
      </w:pPr>
      <w:r>
        <w:rPr>
          <w:szCs w:val="32"/>
          <w:highlight w:val="none"/>
        </w:rPr>
        <w:t>十一、部门预算支出经济分类表（表11）</w:t>
      </w:r>
    </w:p>
    <w:p>
      <w:pPr>
        <w:adjustRightInd w:val="0"/>
        <w:snapToGrid w:val="0"/>
        <w:spacing w:line="586" w:lineRule="exact"/>
        <w:ind w:firstLine="470" w:firstLineChars="147"/>
        <w:rPr>
          <w:szCs w:val="32"/>
          <w:highlight w:val="none"/>
        </w:rPr>
      </w:pPr>
      <w:r>
        <w:rPr>
          <w:szCs w:val="32"/>
          <w:highlight w:val="none"/>
        </w:rPr>
        <w:t>十二、政府预算支出经济分类表（表12）</w:t>
      </w:r>
    </w:p>
    <w:p>
      <w:pPr>
        <w:adjustRightInd w:val="0"/>
        <w:snapToGrid w:val="0"/>
        <w:spacing w:line="586" w:lineRule="exact"/>
        <w:ind w:firstLine="470" w:firstLineChars="147"/>
        <w:rPr>
          <w:rFonts w:ascii="Times New Roman" w:hAnsi="Times New Roman" w:cs="Times New Roman"/>
          <w:szCs w:val="32"/>
          <w:highlight w:val="none"/>
        </w:rPr>
      </w:pPr>
      <w:r>
        <w:rPr>
          <w:rFonts w:hint="eastAsia" w:ascii="Times New Roman" w:hAnsi="Times New Roman" w:cs="Times New Roman"/>
          <w:szCs w:val="32"/>
          <w:highlight w:val="none"/>
        </w:rPr>
        <w:t>十三、项目支出（部门预算）绩效目标申报表（表13）</w:t>
      </w:r>
    </w:p>
    <w:p>
      <w:pPr>
        <w:spacing w:line="586" w:lineRule="exact"/>
        <w:ind w:firstLine="470" w:firstLineChars="147"/>
        <w:rPr>
          <w:rFonts w:eastAsia="黑体"/>
          <w:szCs w:val="32"/>
          <w:highlight w:val="none"/>
        </w:rPr>
      </w:pPr>
      <w:r>
        <w:rPr>
          <w:rFonts w:hAnsi="黑体" w:eastAsia="黑体"/>
          <w:szCs w:val="32"/>
          <w:highlight w:val="none"/>
        </w:rPr>
        <w:t>上述报表详见附件。</w:t>
      </w:r>
    </w:p>
    <w:p>
      <w:pPr>
        <w:autoSpaceDE w:val="0"/>
        <w:autoSpaceDN w:val="0"/>
        <w:adjustRightInd w:val="0"/>
        <w:spacing w:line="586" w:lineRule="exact"/>
        <w:ind w:left="-224" w:leftChars="-70" w:firstLine="626" w:firstLineChars="195"/>
        <w:rPr>
          <w:b/>
          <w:szCs w:val="32"/>
          <w:highlight w:val="none"/>
        </w:rPr>
      </w:pPr>
      <w:r>
        <w:rPr>
          <w:rFonts w:hint="eastAsia"/>
          <w:b/>
          <w:szCs w:val="32"/>
          <w:highlight w:val="none"/>
        </w:rPr>
        <w:t>附件.</w:t>
      </w:r>
      <w:r>
        <w:rPr>
          <w:rFonts w:hint="eastAsia" w:ascii="Times New Roman" w:hAnsi="Times New Roman" w:cs="Times New Roman"/>
          <w:b/>
          <w:szCs w:val="32"/>
          <w:highlight w:val="none"/>
        </w:rPr>
        <w:t xml:space="preserve"> </w:t>
      </w:r>
      <w:r>
        <w:rPr>
          <w:rFonts w:hint="eastAsia" w:ascii="Times New Roman" w:hAnsi="Times New Roman" w:cs="Times New Roman"/>
          <w:b/>
          <w:szCs w:val="32"/>
          <w:highlight w:val="none"/>
          <w:lang w:eastAsia="zh-CN"/>
        </w:rPr>
        <w:t>荔浦市人民法院</w:t>
      </w:r>
      <w:r>
        <w:rPr>
          <w:rFonts w:hint="eastAsia"/>
          <w:b/>
          <w:szCs w:val="32"/>
          <w:highlight w:val="none"/>
        </w:rPr>
        <w:t>部门预算报表（财政审核）（桂林市本级预算公开表）</w:t>
      </w:r>
      <w:r>
        <w:rPr>
          <w:b/>
          <w:szCs w:val="32"/>
          <w:highlight w:val="none"/>
        </w:rPr>
        <w:t>.xls</w:t>
      </w:r>
    </w:p>
    <w:p>
      <w:pPr>
        <w:tabs>
          <w:tab w:val="center" w:pos="4475"/>
        </w:tabs>
        <w:spacing w:line="560" w:lineRule="exact"/>
        <w:ind w:firstLine="645"/>
        <w:rPr>
          <w:rFonts w:ascii="仿宋_GB2312" w:hAnsi="宋体"/>
          <w:szCs w:val="32"/>
          <w:highlight w:val="none"/>
          <w:u w:val="single"/>
        </w:rPr>
      </w:pPr>
    </w:p>
    <w:p>
      <w:pPr>
        <w:rPr>
          <w:highlight w:val="none"/>
        </w:rPr>
      </w:pPr>
    </w:p>
    <w:sectPr>
      <w:footerReference r:id="rId3" w:type="default"/>
      <w:footerReference r:id="rId4" w:type="even"/>
      <w:pgSz w:w="11906" w:h="16838"/>
      <w:pgMar w:top="2098" w:right="1417" w:bottom="1984" w:left="1587" w:header="851" w:footer="992" w:gutter="0"/>
      <w:pgNumType w:start="8"/>
      <w:cols w:space="720" w:num="1"/>
      <w:docGrid w:type="lines" w:linePitch="634" w:charSpace="-21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Style w:val="8"/>
                    <w:rFonts w:ascii="宋体" w:hAnsi="宋体" w:cs="宋体"/>
                    <w:sz w:val="32"/>
                    <w:szCs w:val="32"/>
                  </w:rPr>
                </w:pP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8"/>
                    <w:rFonts w:ascii="宋体" w:hAnsi="宋体" w:cs="宋体"/>
                    <w:sz w:val="28"/>
                    <w:szCs w:val="28"/>
                  </w:rPr>
                  <w:t>15</w:t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E5OGQ1MDk3NjM3ZDE3NDMwNjBmZDFkODFlNDg3MDUifQ=="/>
  </w:docVars>
  <w:rsids>
    <w:rsidRoot w:val="000E2B2E"/>
    <w:rsid w:val="000C60AF"/>
    <w:rsid w:val="000E2B2E"/>
    <w:rsid w:val="00102F95"/>
    <w:rsid w:val="001B7549"/>
    <w:rsid w:val="003B2BBE"/>
    <w:rsid w:val="003E0B0B"/>
    <w:rsid w:val="004837C3"/>
    <w:rsid w:val="004C201E"/>
    <w:rsid w:val="0053713A"/>
    <w:rsid w:val="00601A04"/>
    <w:rsid w:val="00656D84"/>
    <w:rsid w:val="006B3BA0"/>
    <w:rsid w:val="007035D5"/>
    <w:rsid w:val="007657B9"/>
    <w:rsid w:val="007C4397"/>
    <w:rsid w:val="00884219"/>
    <w:rsid w:val="0095006D"/>
    <w:rsid w:val="009D29CA"/>
    <w:rsid w:val="009E1B9E"/>
    <w:rsid w:val="00A15268"/>
    <w:rsid w:val="00B638D3"/>
    <w:rsid w:val="00C20C21"/>
    <w:rsid w:val="00C42C76"/>
    <w:rsid w:val="00CD21AA"/>
    <w:rsid w:val="00E05C87"/>
    <w:rsid w:val="00E72012"/>
    <w:rsid w:val="00EF53DF"/>
    <w:rsid w:val="00FB73E3"/>
    <w:rsid w:val="019D09EA"/>
    <w:rsid w:val="01BE543C"/>
    <w:rsid w:val="084D70B4"/>
    <w:rsid w:val="0A4930C6"/>
    <w:rsid w:val="0DE07E1B"/>
    <w:rsid w:val="10A41C8A"/>
    <w:rsid w:val="10D805C9"/>
    <w:rsid w:val="111E634C"/>
    <w:rsid w:val="14F27D25"/>
    <w:rsid w:val="164828B1"/>
    <w:rsid w:val="18CC596F"/>
    <w:rsid w:val="1C600F56"/>
    <w:rsid w:val="1DDB5336"/>
    <w:rsid w:val="20652CE9"/>
    <w:rsid w:val="21522909"/>
    <w:rsid w:val="24D14BF1"/>
    <w:rsid w:val="2C4C09A9"/>
    <w:rsid w:val="2D207178"/>
    <w:rsid w:val="3064337E"/>
    <w:rsid w:val="34FA0468"/>
    <w:rsid w:val="35C6011B"/>
    <w:rsid w:val="3CB94B07"/>
    <w:rsid w:val="3CBC19A4"/>
    <w:rsid w:val="3FD658F7"/>
    <w:rsid w:val="42E7132E"/>
    <w:rsid w:val="43061187"/>
    <w:rsid w:val="443F532F"/>
    <w:rsid w:val="478305DF"/>
    <w:rsid w:val="4CB85175"/>
    <w:rsid w:val="4E8D3E42"/>
    <w:rsid w:val="5047571D"/>
    <w:rsid w:val="51833FDE"/>
    <w:rsid w:val="56DD4875"/>
    <w:rsid w:val="579E557D"/>
    <w:rsid w:val="5B997182"/>
    <w:rsid w:val="5CED0B9E"/>
    <w:rsid w:val="5EBE7AFE"/>
    <w:rsid w:val="5FAB479A"/>
    <w:rsid w:val="65BD6FB1"/>
    <w:rsid w:val="66F723C6"/>
    <w:rsid w:val="68693591"/>
    <w:rsid w:val="6B4B4AAE"/>
    <w:rsid w:val="6BCC3BCA"/>
    <w:rsid w:val="6CE92361"/>
    <w:rsid w:val="6F69585F"/>
    <w:rsid w:val="72B27C64"/>
    <w:rsid w:val="745E36D4"/>
    <w:rsid w:val="759F3160"/>
    <w:rsid w:val="782C66BE"/>
    <w:rsid w:val="7A960977"/>
    <w:rsid w:val="7D1A56FF"/>
    <w:rsid w:val="7D3936CC"/>
    <w:rsid w:val="7DC478DC"/>
    <w:rsid w:val="7F4B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648</Words>
  <Characters>3694</Characters>
  <Lines>30</Lines>
  <Paragraphs>8</Paragraphs>
  <TotalTime>39</TotalTime>
  <ScaleCrop>false</ScaleCrop>
  <LinksUpToDate>false</LinksUpToDate>
  <CharactersWithSpaces>4334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2024-02-28T07:42:00Z</dcterms:created>
  <dc:creator>夏候飞</dc:creator>
  <cp:lastModifiedBy>陈</cp:lastModifiedBy>
  <dcterms:modified xsi:type="dcterms:W3CDTF">2024-04-15T07:56:45Z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58323263728E4F3B91897321BD4BC0B1_12</vt:lpwstr>
  </property>
</Properties>
</file>