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ind w:right="-333" w:rightChars="-104"/>
        <w:jc w:val="center"/>
        <w:rPr>
          <w:rFonts w:hint="eastAsia" w:ascii="黑体" w:hAnsi="黑体" w:eastAsia="黑体" w:cs="黑体"/>
          <w:sz w:val="52"/>
          <w:szCs w:val="52"/>
          <w:highlight w:val="none"/>
        </w:rPr>
      </w:pPr>
      <w:bookmarkStart w:id="0" w:name="_GoBack"/>
      <w:r>
        <w:rPr>
          <w:rFonts w:hint="eastAsia" w:ascii="黑体" w:hAnsi="黑体" w:eastAsia="黑体" w:cs="黑体"/>
          <w:sz w:val="52"/>
          <w:szCs w:val="52"/>
          <w:highlight w:val="none"/>
          <w:lang w:eastAsia="zh-CN"/>
        </w:rPr>
        <w:t>桂林市兴安县人民法院</w:t>
      </w:r>
      <w:r>
        <w:rPr>
          <w:rFonts w:hint="eastAsia" w:ascii="黑体" w:hAnsi="黑体" w:eastAsia="黑体" w:cs="黑体"/>
          <w:sz w:val="52"/>
          <w:szCs w:val="52"/>
          <w:highlight w:val="none"/>
        </w:rPr>
        <w:t>2024年</w:t>
      </w:r>
    </w:p>
    <w:p>
      <w:pPr>
        <w:adjustRightInd w:val="0"/>
        <w:snapToGrid w:val="0"/>
        <w:spacing w:line="560" w:lineRule="exact"/>
        <w:ind w:right="-333" w:rightChars="-104"/>
        <w:jc w:val="center"/>
        <w:rPr>
          <w:rFonts w:hint="eastAsia" w:ascii="黑体" w:hAnsi="黑体" w:eastAsia="黑体" w:cs="黑体"/>
          <w:bCs/>
          <w:sz w:val="40"/>
          <w:szCs w:val="40"/>
          <w:highlight w:val="none"/>
        </w:rPr>
      </w:pPr>
      <w:r>
        <w:rPr>
          <w:rFonts w:hint="eastAsia" w:ascii="黑体" w:hAnsi="黑体" w:eastAsia="黑体" w:cs="黑体"/>
          <w:sz w:val="52"/>
          <w:szCs w:val="52"/>
          <w:highlight w:val="none"/>
        </w:rPr>
        <w:t>部门预算公开说明</w:t>
      </w:r>
    </w:p>
    <w:p>
      <w:pPr>
        <w:adjustRightInd w:val="0"/>
        <w:snapToGrid w:val="0"/>
        <w:spacing w:line="560" w:lineRule="exact"/>
        <w:ind w:right="-333" w:rightChars="-104"/>
        <w:jc w:val="center"/>
        <w:rPr>
          <w:rFonts w:ascii="黑体" w:hAnsi="宋体" w:eastAsia="黑体"/>
          <w:bCs/>
          <w:szCs w:val="32"/>
          <w:highlight w:val="none"/>
        </w:rPr>
      </w:pPr>
    </w:p>
    <w:p>
      <w:pPr>
        <w:adjustRightInd w:val="0"/>
        <w:snapToGrid w:val="0"/>
        <w:spacing w:line="560" w:lineRule="exact"/>
        <w:ind w:right="-333" w:rightChars="-104"/>
        <w:jc w:val="center"/>
        <w:rPr>
          <w:rFonts w:ascii="黑体" w:hAnsi="宋体" w:eastAsia="黑体"/>
          <w:bCs/>
          <w:sz w:val="40"/>
          <w:szCs w:val="40"/>
          <w:highlight w:val="none"/>
        </w:rPr>
      </w:pPr>
      <w:r>
        <w:rPr>
          <w:rFonts w:hint="eastAsia" w:ascii="黑体" w:hAnsi="宋体" w:eastAsia="黑体"/>
          <w:bCs/>
          <w:sz w:val="40"/>
          <w:szCs w:val="40"/>
          <w:highlight w:val="none"/>
        </w:rPr>
        <w:t>目  录</w:t>
      </w:r>
    </w:p>
    <w:p>
      <w:pPr>
        <w:adjustRightInd w:val="0"/>
        <w:snapToGrid w:val="0"/>
        <w:spacing w:line="560" w:lineRule="exact"/>
        <w:ind w:right="-333" w:rightChars="-104" w:firstLine="640" w:firstLineChars="200"/>
        <w:rPr>
          <w:rFonts w:ascii="黑体" w:hAnsi="宋体" w:eastAsia="黑体"/>
          <w:bCs/>
          <w:szCs w:val="32"/>
          <w:highlight w:val="none"/>
        </w:rPr>
      </w:pPr>
    </w:p>
    <w:p>
      <w:pPr>
        <w:adjustRightInd w:val="0"/>
        <w:snapToGrid w:val="0"/>
        <w:spacing w:line="560" w:lineRule="exact"/>
        <w:ind w:right="-333" w:rightChars="-104" w:firstLine="640" w:firstLineChars="200"/>
        <w:rPr>
          <w:rFonts w:ascii="黑体" w:hAnsi="宋体" w:eastAsia="黑体"/>
          <w:bCs/>
          <w:szCs w:val="32"/>
          <w:highlight w:val="none"/>
        </w:rPr>
      </w:pPr>
      <w:r>
        <w:rPr>
          <w:rFonts w:hint="eastAsia" w:ascii="黑体" w:hAnsi="宋体" w:eastAsia="黑体"/>
          <w:bCs/>
          <w:szCs w:val="32"/>
          <w:highlight w:val="none"/>
        </w:rPr>
        <w:t>第一部分：部门概况</w:t>
      </w:r>
    </w:p>
    <w:p>
      <w:pPr>
        <w:keepNext w:val="0"/>
        <w:keepLines w:val="0"/>
        <w:pageBreakBefore w:val="0"/>
        <w:kinsoku/>
        <w:wordWrap/>
        <w:overflowPunct/>
        <w:topLinePunct w:val="0"/>
        <w:bidi w:val="0"/>
        <w:spacing w:beforeAutospacing="0" w:afterAutospacing="0" w:line="58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一、主要职能职责</w:t>
      </w:r>
    </w:p>
    <w:p>
      <w:pPr>
        <w:keepNext w:val="0"/>
        <w:keepLines w:val="0"/>
        <w:pageBreakBefore w:val="0"/>
        <w:kinsoku/>
        <w:wordWrap/>
        <w:overflowPunct/>
        <w:topLinePunct w:val="0"/>
        <w:bidi w:val="0"/>
        <w:spacing w:beforeAutospacing="0" w:afterAutospacing="0" w:line="58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二、机构设置</w:t>
      </w:r>
    </w:p>
    <w:p>
      <w:pPr>
        <w:adjustRightInd w:val="0"/>
        <w:snapToGrid w:val="0"/>
        <w:spacing w:line="560" w:lineRule="exact"/>
        <w:ind w:right="-333" w:rightChars="-104" w:firstLine="640" w:firstLineChars="200"/>
        <w:rPr>
          <w:rFonts w:ascii="黑体" w:hAnsi="宋体" w:eastAsia="黑体"/>
          <w:bCs/>
          <w:szCs w:val="32"/>
          <w:highlight w:val="none"/>
        </w:rPr>
      </w:pPr>
      <w:r>
        <w:rPr>
          <w:rFonts w:hint="eastAsia" w:ascii="黑体" w:eastAsia="黑体"/>
          <w:szCs w:val="32"/>
          <w:highlight w:val="none"/>
        </w:rPr>
        <w:t>第二部分：</w:t>
      </w:r>
      <w:r>
        <w:rPr>
          <w:rFonts w:hint="eastAsia" w:ascii="黑体" w:hAnsi="宋体" w:eastAsia="黑体"/>
          <w:szCs w:val="32"/>
          <w:highlight w:val="none"/>
        </w:rPr>
        <w:t xml:space="preserve"> 2024年</w:t>
      </w:r>
      <w:r>
        <w:rPr>
          <w:rFonts w:hint="eastAsia" w:ascii="黑体" w:eastAsia="黑体"/>
          <w:szCs w:val="32"/>
          <w:highlight w:val="none"/>
        </w:rPr>
        <w:t>部门预算情况说明</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一、收支预算总体情况</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二、收入预算总体情况</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三、支出预算总体情况</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四、财政拨款收支预算情况说明</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五、一般公共预算支出情况</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六、一般公共预算基本支出情况 </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七、一般公共预算“三公”经费情况</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八、政府性基金预算情况 </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九、国有资本经营预算情况</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textAlignment w:val="auto"/>
        <w:rPr>
          <w:rFonts w:ascii="黑体" w:hAnsi="宋体" w:eastAsia="黑体"/>
          <w:bCs/>
          <w:szCs w:val="32"/>
          <w:highlight w:val="none"/>
        </w:rPr>
      </w:pPr>
      <w:r>
        <w:rPr>
          <w:rFonts w:hint="eastAsia" w:ascii="仿宋_GB2312" w:hAnsi="仿宋_GB2312" w:eastAsia="仿宋_GB2312" w:cs="仿宋_GB2312"/>
          <w:sz w:val="32"/>
          <w:szCs w:val="32"/>
          <w:highlight w:val="none"/>
        </w:rPr>
        <w:t>十、其他重要事项情况说明</w:t>
      </w:r>
    </w:p>
    <w:p>
      <w:pPr>
        <w:adjustRightInd w:val="0"/>
        <w:snapToGrid w:val="0"/>
        <w:spacing w:line="560" w:lineRule="exact"/>
        <w:ind w:right="-333" w:rightChars="-104" w:firstLine="640" w:firstLineChars="200"/>
        <w:rPr>
          <w:rFonts w:ascii="黑体" w:hAnsi="宋体" w:eastAsia="黑体"/>
          <w:bCs/>
          <w:szCs w:val="32"/>
          <w:highlight w:val="none"/>
        </w:rPr>
      </w:pPr>
      <w:r>
        <w:rPr>
          <w:rFonts w:hint="eastAsia" w:ascii="黑体" w:eastAsia="黑体"/>
          <w:szCs w:val="32"/>
          <w:highlight w:val="none"/>
        </w:rPr>
        <w:t>第三部分：名词解释</w:t>
      </w:r>
    </w:p>
    <w:p>
      <w:pPr>
        <w:adjustRightInd w:val="0"/>
        <w:snapToGrid w:val="0"/>
        <w:spacing w:line="560" w:lineRule="exact"/>
        <w:ind w:right="-333" w:rightChars="-104" w:firstLine="640" w:firstLineChars="200"/>
        <w:rPr>
          <w:rFonts w:ascii="黑体" w:hAnsi="宋体" w:eastAsia="黑体"/>
          <w:bCs/>
          <w:szCs w:val="32"/>
          <w:highlight w:val="none"/>
        </w:rPr>
      </w:pPr>
      <w:r>
        <w:rPr>
          <w:rFonts w:hint="eastAsia" w:ascii="黑体" w:hAnsi="宋体" w:eastAsia="黑体"/>
          <w:bCs/>
          <w:szCs w:val="32"/>
          <w:highlight w:val="none"/>
        </w:rPr>
        <w:t>第四部分：</w:t>
      </w:r>
      <w:r>
        <w:rPr>
          <w:rFonts w:hint="eastAsia" w:ascii="黑体" w:hAnsi="宋体" w:eastAsia="黑体"/>
          <w:szCs w:val="32"/>
          <w:highlight w:val="none"/>
        </w:rPr>
        <w:t xml:space="preserve"> 2024年</w:t>
      </w:r>
      <w:r>
        <w:rPr>
          <w:rFonts w:hint="eastAsia" w:ascii="黑体" w:eastAsia="黑体"/>
          <w:szCs w:val="32"/>
          <w:highlight w:val="none"/>
        </w:rPr>
        <w:t>部门预算报表</w:t>
      </w:r>
    </w:p>
    <w:p>
      <w:pPr>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一、部门收支总体情况表（表1）</w:t>
      </w:r>
    </w:p>
    <w:p>
      <w:pPr>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二、部门收入总体情况表（表2）</w:t>
      </w:r>
    </w:p>
    <w:p>
      <w:pPr>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三、部门支出总体情况表（表3）</w:t>
      </w:r>
    </w:p>
    <w:p>
      <w:pPr>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四、财政拨款收支总体情况表（表4）</w:t>
      </w:r>
    </w:p>
    <w:p>
      <w:pPr>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五、一般公共预算支出情况表（表5）</w:t>
      </w:r>
    </w:p>
    <w:p>
      <w:pPr>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六、一般公共预算基本支出情况表（表6）</w:t>
      </w:r>
    </w:p>
    <w:p>
      <w:pPr>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七、一般公共预算“三公”经费支出情况表（表7）</w:t>
      </w:r>
    </w:p>
    <w:p>
      <w:pPr>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八、政府性基金预算支出情况表（表8）</w:t>
      </w:r>
    </w:p>
    <w:p>
      <w:pPr>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九、国有资本经营预算支出表（表9）</w:t>
      </w:r>
    </w:p>
    <w:p>
      <w:pPr>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十、政府采购预算表（表10）</w:t>
      </w:r>
    </w:p>
    <w:p>
      <w:pPr>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十一、部门预算支出经济分类表（表11）</w:t>
      </w:r>
    </w:p>
    <w:p>
      <w:pPr>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十二、政府预算支出经济分类表（表12）</w:t>
      </w:r>
    </w:p>
    <w:p>
      <w:pPr>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十三、项目支出绩效目标申报表（表</w:t>
      </w:r>
      <w:r>
        <w:rPr>
          <w:rFonts w:hint="eastAsia" w:ascii="仿宋_GB2312" w:hAnsi="仿宋_GB2312" w:eastAsia="仿宋_GB2312" w:cs="仿宋_GB2312"/>
          <w:sz w:val="32"/>
          <w:szCs w:val="32"/>
          <w:highlight w:val="none"/>
          <w:lang w:val="en-US" w:eastAsia="zh-CN"/>
        </w:rPr>
        <w:t>13</w:t>
      </w:r>
      <w:r>
        <w:rPr>
          <w:rFonts w:hint="eastAsia" w:ascii="仿宋_GB2312" w:hAnsi="仿宋_GB2312" w:eastAsia="仿宋_GB2312" w:cs="仿宋_GB2312"/>
          <w:sz w:val="32"/>
          <w:szCs w:val="32"/>
          <w:highlight w:val="none"/>
          <w:lang w:eastAsia="zh-CN"/>
        </w:rPr>
        <w:t>）</w:t>
      </w:r>
    </w:p>
    <w:p>
      <w:pPr>
        <w:adjustRightInd w:val="0"/>
        <w:snapToGrid w:val="0"/>
        <w:spacing w:line="560" w:lineRule="exact"/>
        <w:ind w:right="-333" w:rightChars="-104" w:firstLine="640" w:firstLineChars="200"/>
        <w:rPr>
          <w:rFonts w:ascii="黑体" w:hAnsi="宋体" w:eastAsia="黑体"/>
          <w:bCs/>
          <w:szCs w:val="32"/>
          <w:highlight w:val="none"/>
        </w:rPr>
      </w:pPr>
    </w:p>
    <w:p>
      <w:pPr>
        <w:adjustRightInd w:val="0"/>
        <w:snapToGrid w:val="0"/>
        <w:spacing w:line="560" w:lineRule="exact"/>
        <w:ind w:right="-333" w:rightChars="-104" w:firstLine="640" w:firstLineChars="200"/>
        <w:rPr>
          <w:rFonts w:ascii="黑体" w:hAnsi="宋体" w:eastAsia="黑体"/>
          <w:bCs/>
          <w:szCs w:val="32"/>
          <w:highlight w:val="none"/>
        </w:rPr>
      </w:pPr>
    </w:p>
    <w:p>
      <w:pPr>
        <w:adjustRightInd w:val="0"/>
        <w:snapToGrid w:val="0"/>
        <w:spacing w:line="560" w:lineRule="exact"/>
        <w:ind w:right="-333" w:rightChars="-104" w:firstLine="640" w:firstLineChars="200"/>
        <w:rPr>
          <w:rFonts w:ascii="黑体" w:hAnsi="宋体" w:eastAsia="黑体"/>
          <w:bCs/>
          <w:szCs w:val="32"/>
          <w:highlight w:val="none"/>
        </w:rPr>
      </w:pPr>
    </w:p>
    <w:p>
      <w:pPr>
        <w:adjustRightInd w:val="0"/>
        <w:snapToGrid w:val="0"/>
        <w:spacing w:line="560" w:lineRule="exact"/>
        <w:ind w:right="-333" w:rightChars="-104" w:firstLine="640" w:firstLineChars="200"/>
        <w:rPr>
          <w:rFonts w:ascii="黑体" w:hAnsi="宋体" w:eastAsia="黑体"/>
          <w:bCs/>
          <w:szCs w:val="32"/>
          <w:highlight w:val="none"/>
        </w:rPr>
      </w:pPr>
    </w:p>
    <w:p>
      <w:pPr>
        <w:adjustRightInd w:val="0"/>
        <w:snapToGrid w:val="0"/>
        <w:spacing w:line="560" w:lineRule="exact"/>
        <w:ind w:right="-333" w:rightChars="-104" w:firstLine="640" w:firstLineChars="200"/>
        <w:rPr>
          <w:rFonts w:ascii="黑体" w:hAnsi="宋体" w:eastAsia="黑体"/>
          <w:bCs/>
          <w:szCs w:val="32"/>
          <w:highlight w:val="none"/>
        </w:rPr>
      </w:pPr>
    </w:p>
    <w:p>
      <w:pPr>
        <w:adjustRightInd w:val="0"/>
        <w:snapToGrid w:val="0"/>
        <w:spacing w:line="560" w:lineRule="exact"/>
        <w:ind w:right="-333" w:rightChars="-104" w:firstLine="640" w:firstLineChars="200"/>
        <w:rPr>
          <w:rFonts w:ascii="黑体" w:hAnsi="宋体" w:eastAsia="黑体"/>
          <w:bCs/>
          <w:szCs w:val="32"/>
          <w:highlight w:val="none"/>
        </w:rPr>
      </w:pPr>
    </w:p>
    <w:p>
      <w:pPr>
        <w:adjustRightInd w:val="0"/>
        <w:snapToGrid w:val="0"/>
        <w:spacing w:line="560" w:lineRule="exact"/>
        <w:ind w:right="-333" w:rightChars="-104" w:firstLine="640" w:firstLineChars="200"/>
        <w:rPr>
          <w:rFonts w:ascii="黑体" w:hAnsi="宋体" w:eastAsia="黑体"/>
          <w:bCs/>
          <w:szCs w:val="32"/>
          <w:highlight w:val="none"/>
        </w:rPr>
      </w:pPr>
    </w:p>
    <w:p>
      <w:pPr>
        <w:widowControl/>
        <w:jc w:val="left"/>
        <w:rPr>
          <w:rFonts w:ascii="黑体" w:hAnsi="宋体" w:eastAsia="黑体"/>
          <w:bCs/>
          <w:szCs w:val="32"/>
          <w:highlight w:val="none"/>
        </w:rPr>
      </w:pPr>
      <w:r>
        <w:rPr>
          <w:rFonts w:ascii="黑体" w:hAnsi="宋体" w:eastAsia="黑体"/>
          <w:bCs/>
          <w:szCs w:val="32"/>
          <w:highlight w:val="none"/>
        </w:rPr>
        <w:br w:type="page"/>
      </w:r>
    </w:p>
    <w:p>
      <w:pPr>
        <w:adjustRightInd w:val="0"/>
        <w:snapToGrid w:val="0"/>
        <w:spacing w:line="560" w:lineRule="exact"/>
        <w:ind w:right="-333" w:rightChars="-104" w:firstLine="640" w:firstLineChars="200"/>
        <w:rPr>
          <w:rFonts w:ascii="黑体" w:hAnsi="宋体" w:eastAsia="黑体"/>
          <w:bCs/>
          <w:sz w:val="32"/>
          <w:szCs w:val="32"/>
          <w:highlight w:val="none"/>
        </w:rPr>
      </w:pPr>
      <w:r>
        <w:rPr>
          <w:rFonts w:hint="eastAsia" w:ascii="黑体" w:hAnsi="宋体" w:eastAsia="黑体"/>
          <w:bCs/>
          <w:sz w:val="32"/>
          <w:szCs w:val="32"/>
          <w:highlight w:val="none"/>
        </w:rPr>
        <w:t>第一部分：</w:t>
      </w:r>
      <w:r>
        <w:rPr>
          <w:rFonts w:hint="eastAsia" w:ascii="黑体" w:hAnsi="宋体" w:eastAsia="黑体"/>
          <w:bCs/>
          <w:sz w:val="32"/>
          <w:szCs w:val="32"/>
          <w:highlight w:val="none"/>
          <w:lang w:eastAsia="zh-CN"/>
        </w:rPr>
        <w:t>兴安县人民法院</w:t>
      </w:r>
      <w:r>
        <w:rPr>
          <w:rFonts w:hint="eastAsia" w:ascii="黑体" w:hAnsi="宋体" w:eastAsia="黑体"/>
          <w:bCs/>
          <w:sz w:val="32"/>
          <w:szCs w:val="32"/>
          <w:highlight w:val="none"/>
        </w:rPr>
        <w:t>概况</w:t>
      </w:r>
    </w:p>
    <w:p>
      <w:pPr>
        <w:adjustRightInd w:val="0"/>
        <w:snapToGrid w:val="0"/>
        <w:spacing w:line="560" w:lineRule="exact"/>
        <w:ind w:right="-333" w:rightChars="-104" w:firstLine="640" w:firstLineChars="200"/>
        <w:rPr>
          <w:rFonts w:ascii="黑体" w:hAnsi="宋体" w:eastAsia="黑体"/>
          <w:szCs w:val="32"/>
          <w:highlight w:val="none"/>
        </w:rPr>
      </w:pPr>
      <w:r>
        <w:rPr>
          <w:rFonts w:hint="eastAsia" w:ascii="黑体" w:hAnsi="宋体" w:eastAsia="黑体"/>
          <w:bCs/>
          <w:szCs w:val="32"/>
          <w:highlight w:val="none"/>
        </w:rPr>
        <w:t>一</w:t>
      </w:r>
      <w:r>
        <w:rPr>
          <w:rFonts w:hint="eastAsia" w:ascii="黑体" w:hAnsi="宋体" w:eastAsia="黑体"/>
          <w:szCs w:val="32"/>
          <w:highlight w:val="none"/>
        </w:rPr>
        <w:t>、主要</w:t>
      </w:r>
      <w:r>
        <w:rPr>
          <w:rFonts w:hint="eastAsia" w:ascii="黑体" w:hAnsi="宋体" w:eastAsia="黑体"/>
          <w:szCs w:val="32"/>
          <w:highlight w:val="none"/>
          <w:lang w:eastAsia="zh-CN"/>
        </w:rPr>
        <w:t>职能</w:t>
      </w:r>
      <w:r>
        <w:rPr>
          <w:rFonts w:hint="eastAsia" w:ascii="黑体" w:hAnsi="宋体" w:eastAsia="黑体"/>
          <w:szCs w:val="32"/>
          <w:highlight w:val="none"/>
        </w:rPr>
        <w:t>职责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color w:val="000000"/>
          <w:sz w:val="32"/>
          <w:szCs w:val="32"/>
          <w:highlight w:val="none"/>
        </w:rPr>
        <w:t>（一）依法审理法律规定应由其管辖的第一审刑事、民事、行政诉讼案件以及法律规定的其他案件</w:t>
      </w:r>
      <w:r>
        <w:rPr>
          <w:rFonts w:hint="eastAsia" w:ascii="仿宋_GB2312" w:hAnsi="仿宋_GB2312" w:eastAsia="仿宋_GB2312" w:cs="仿宋_GB2312"/>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（二）审理上级人民法院指定再审的案件；审理本院发生法律效力的判决、裁定提起再审的案件。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（三）依法审理上级人民法院交由其审理的刑事、民事、行政案件。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（四）依法行使司法决定权和司法执行权，执行由其作为一审法院的终审裁决或行政机关申请执行的非诉行政案件。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（五）负责对人民调解委员会的调解工作进行业务指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（六）负责本院的政治思想、内部监督、教育培训、法制宣传、司法行政事务、司法警察等工作。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（七）承办其他应由本院负责的工作。</w:t>
      </w:r>
    </w:p>
    <w:p>
      <w:pPr>
        <w:spacing w:line="560" w:lineRule="exact"/>
        <w:ind w:firstLine="640" w:firstLineChars="200"/>
        <w:rPr>
          <w:rFonts w:hint="eastAsia" w:ascii="黑体" w:hAnsi="宋体" w:eastAsia="黑体"/>
          <w:szCs w:val="32"/>
          <w:highlight w:val="none"/>
        </w:rPr>
      </w:pPr>
      <w:r>
        <w:rPr>
          <w:rFonts w:hint="eastAsia" w:ascii="黑体" w:hAnsi="宋体" w:eastAsia="黑体"/>
          <w:szCs w:val="32"/>
          <w:highlight w:val="none"/>
        </w:rPr>
        <w:t>二、机构设置情况</w:t>
      </w:r>
    </w:p>
    <w:p>
      <w:pPr>
        <w:spacing w:line="560" w:lineRule="exact"/>
        <w:ind w:firstLine="640" w:firstLineChars="200"/>
        <w:rPr>
          <w:rFonts w:hint="eastAsia" w:ascii="仿宋_GB2312" w:hAnsi="仿宋_GB2312" w:eastAsia="仿宋_GB2312" w:cs="仿宋_GB2312"/>
          <w:b w:val="0"/>
          <w:bCs w:val="0"/>
          <w:sz w:val="32"/>
          <w:szCs w:val="32"/>
          <w:highlight w:val="none"/>
          <w:lang w:eastAsia="zh-CN"/>
        </w:rPr>
      </w:pPr>
      <w:r>
        <w:rPr>
          <w:rStyle w:val="13"/>
          <w:rFonts w:hint="eastAsia"/>
          <w:highlight w:val="none"/>
          <w:lang w:val="en-US" w:eastAsia="zh-CN"/>
        </w:rPr>
        <w:t>兴安县人民法院；单位性质为：政法机关；经费形式为：全额拨款；核定内设（下设）机构设置11个，分别是：立案庭（诉讼服务中心）、刑事审判庭、民事审判庭、综合审判庭、执行局、政治部、综合办公室、审判管理办公室（研究室）、司法警察大队、城关人民法庭、溶江人民法庭</w:t>
      </w:r>
      <w:r>
        <w:rPr>
          <w:rFonts w:hint="eastAsia" w:ascii="仿宋_GB2312" w:hAnsi="仿宋_GB2312" w:eastAsia="仿宋_GB2312" w:cs="仿宋_GB2312"/>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560" w:lineRule="exact"/>
        <w:ind w:right="-333" w:rightChars="-104" w:firstLine="640" w:firstLineChars="200"/>
        <w:textAlignment w:val="auto"/>
        <w:rPr>
          <w:rFonts w:hint="eastAsia" w:ascii="黑体" w:hAnsi="宋体" w:eastAsia="黑体" w:cs="Times New Roman"/>
          <w:bCs/>
          <w:szCs w:val="32"/>
          <w:highlight w:val="none"/>
        </w:rPr>
      </w:pPr>
    </w:p>
    <w:p>
      <w:pPr>
        <w:keepNext w:val="0"/>
        <w:keepLines w:val="0"/>
        <w:pageBreakBefore w:val="0"/>
        <w:widowControl w:val="0"/>
        <w:kinsoku/>
        <w:wordWrap/>
        <w:overflowPunct/>
        <w:topLinePunct w:val="0"/>
        <w:autoSpaceDE/>
        <w:autoSpaceDN/>
        <w:bidi w:val="0"/>
        <w:adjustRightInd w:val="0"/>
        <w:snapToGrid w:val="0"/>
        <w:spacing w:line="560" w:lineRule="exact"/>
        <w:ind w:right="-333" w:rightChars="-104" w:firstLine="640" w:firstLineChars="200"/>
        <w:textAlignment w:val="auto"/>
        <w:rPr>
          <w:rFonts w:hint="eastAsia" w:ascii="黑体" w:hAnsi="宋体" w:eastAsia="黑体" w:cs="Times New Roman"/>
          <w:bCs/>
          <w:szCs w:val="32"/>
          <w:highlight w:val="none"/>
        </w:rPr>
      </w:pPr>
    </w:p>
    <w:p>
      <w:pPr>
        <w:keepNext w:val="0"/>
        <w:keepLines w:val="0"/>
        <w:pageBreakBefore w:val="0"/>
        <w:widowControl w:val="0"/>
        <w:kinsoku/>
        <w:wordWrap/>
        <w:overflowPunct/>
        <w:topLinePunct w:val="0"/>
        <w:autoSpaceDE/>
        <w:autoSpaceDN/>
        <w:bidi w:val="0"/>
        <w:adjustRightInd w:val="0"/>
        <w:snapToGrid w:val="0"/>
        <w:spacing w:line="560" w:lineRule="exact"/>
        <w:ind w:right="-333" w:rightChars="-104" w:firstLine="640" w:firstLineChars="200"/>
        <w:textAlignment w:val="auto"/>
        <w:rPr>
          <w:rFonts w:hint="eastAsia" w:ascii="黑体" w:hAnsi="宋体" w:eastAsia="黑体" w:cs="Times New Roman"/>
          <w:bCs/>
          <w:szCs w:val="32"/>
          <w:highlight w:val="none"/>
        </w:rPr>
      </w:pPr>
      <w:r>
        <w:rPr>
          <w:rFonts w:hint="eastAsia" w:ascii="黑体" w:hAnsi="宋体" w:eastAsia="黑体" w:cs="Times New Roman"/>
          <w:bCs/>
          <w:szCs w:val="32"/>
          <w:highlight w:val="none"/>
        </w:rPr>
        <w:t>第二部分：</w:t>
      </w:r>
      <w:r>
        <w:rPr>
          <w:rFonts w:hint="eastAsia" w:ascii="黑体" w:hAnsi="宋体" w:eastAsia="黑体" w:cs="Times New Roman"/>
          <w:bCs/>
          <w:szCs w:val="32"/>
          <w:highlight w:val="none"/>
          <w:lang w:eastAsia="zh-CN"/>
        </w:rPr>
        <w:t>兴安县人民法院</w:t>
      </w:r>
      <w:r>
        <w:rPr>
          <w:rFonts w:hint="eastAsia" w:ascii="黑体" w:hAnsi="宋体" w:eastAsia="黑体" w:cs="Times New Roman"/>
          <w:bCs/>
          <w:szCs w:val="32"/>
          <w:highlight w:val="none"/>
        </w:rPr>
        <w:t>2024年部门预算情况说明</w:t>
      </w:r>
    </w:p>
    <w:p>
      <w:pPr>
        <w:tabs>
          <w:tab w:val="center" w:pos="4475"/>
        </w:tabs>
        <w:spacing w:line="560" w:lineRule="exact"/>
        <w:ind w:firstLine="645"/>
        <w:rPr>
          <w:rFonts w:ascii="黑体" w:eastAsia="黑体"/>
          <w:szCs w:val="32"/>
          <w:highlight w:val="none"/>
        </w:rPr>
      </w:pPr>
      <w:r>
        <w:rPr>
          <w:rFonts w:hint="eastAsia" w:ascii="黑体" w:eastAsia="黑体"/>
          <w:szCs w:val="32"/>
          <w:highlight w:val="none"/>
        </w:rPr>
        <w:t>一、</w:t>
      </w:r>
      <w:r>
        <w:rPr>
          <w:rFonts w:hint="eastAsia" w:ascii="黑体" w:eastAsia="黑体"/>
          <w:szCs w:val="32"/>
          <w:highlight w:val="none"/>
          <w:lang w:eastAsia="zh-CN"/>
        </w:rPr>
        <w:t>部门</w:t>
      </w:r>
      <w:r>
        <w:rPr>
          <w:rFonts w:hint="eastAsia" w:ascii="黑体" w:eastAsia="黑体"/>
          <w:szCs w:val="32"/>
          <w:highlight w:val="none"/>
        </w:rPr>
        <w:t>收支总体情况说明</w:t>
      </w:r>
    </w:p>
    <w:p>
      <w:pPr>
        <w:tabs>
          <w:tab w:val="center" w:pos="4475"/>
        </w:tabs>
        <w:spacing w:line="560" w:lineRule="exact"/>
        <w:ind w:firstLine="645"/>
        <w:rPr>
          <w:rFonts w:hint="eastAsia" w:ascii="仿宋_GB2312" w:hAnsi="宋体" w:eastAsia="仿宋_GB2312" w:cs="仿宋_GB2312"/>
          <w:i w:val="0"/>
          <w:iCs w:val="0"/>
          <w:caps w:val="0"/>
          <w:color w:val="000000"/>
          <w:spacing w:val="0"/>
          <w:sz w:val="31"/>
          <w:szCs w:val="31"/>
          <w:highlight w:val="none"/>
          <w:shd w:val="clear" w:fill="FFFFFF"/>
          <w:lang w:val="en-US" w:eastAsia="zh-CN"/>
        </w:rPr>
      </w:pPr>
      <w:r>
        <w:rPr>
          <w:rFonts w:hint="eastAsia" w:ascii="仿宋_GB2312"/>
          <w:szCs w:val="32"/>
          <w:highlight w:val="none"/>
          <w:lang w:eastAsia="zh-CN"/>
        </w:rPr>
        <w:t>我部门总收入预算</w:t>
      </w:r>
      <w:r>
        <w:rPr>
          <w:rFonts w:hint="eastAsia" w:ascii="仿宋_GB2312"/>
          <w:szCs w:val="32"/>
          <w:highlight w:val="none"/>
          <w:lang w:val="en-US" w:eastAsia="zh-CN"/>
        </w:rPr>
        <w:t>2211.98万元，总支出预算2211.98万元</w:t>
      </w:r>
      <w:r>
        <w:rPr>
          <w:rFonts w:hint="eastAsia" w:ascii="仿宋_GB2312"/>
          <w:szCs w:val="32"/>
          <w:highlight w:val="none"/>
        </w:rPr>
        <w:t>（不含财政拨款上年未列支结转收支数）。总收入较上年</w:t>
      </w:r>
      <w:r>
        <w:rPr>
          <w:rFonts w:hint="eastAsia" w:ascii="仿宋_GB2312"/>
          <w:szCs w:val="32"/>
          <w:highlight w:val="none"/>
          <w:lang w:eastAsia="zh-CN"/>
        </w:rPr>
        <w:t>减少</w:t>
      </w:r>
      <w:r>
        <w:rPr>
          <w:rFonts w:hint="eastAsia" w:ascii="仿宋_GB2312"/>
          <w:szCs w:val="32"/>
          <w:highlight w:val="none"/>
          <w:lang w:val="en-US" w:eastAsia="zh-CN"/>
        </w:rPr>
        <w:t>299.22万元，下降11.92</w:t>
      </w:r>
      <w:r>
        <w:rPr>
          <w:rFonts w:hint="eastAsia" w:ascii="仿宋_GB2312"/>
          <w:szCs w:val="32"/>
          <w:highlight w:val="none"/>
        </w:rPr>
        <w:t>%，主要原因是</w:t>
      </w:r>
      <w:r>
        <w:rPr>
          <w:rFonts w:ascii="仿宋_GB2312" w:hAnsi="宋体" w:eastAsia="仿宋_GB2312" w:cs="仿宋_GB2312"/>
          <w:i w:val="0"/>
          <w:iCs w:val="0"/>
          <w:caps w:val="0"/>
          <w:color w:val="000000"/>
          <w:spacing w:val="0"/>
          <w:sz w:val="31"/>
          <w:szCs w:val="31"/>
          <w:highlight w:val="none"/>
          <w:shd w:val="clear" w:fill="FFFFFF"/>
        </w:rPr>
        <w:t>按照财政统一工作部署，</w:t>
      </w:r>
      <w:r>
        <w:rPr>
          <w:rFonts w:hint="eastAsia" w:ascii="仿宋_GB2312" w:hAnsi="宋体" w:cs="仿宋_GB2312"/>
          <w:i w:val="0"/>
          <w:iCs w:val="0"/>
          <w:caps w:val="0"/>
          <w:color w:val="000000"/>
          <w:spacing w:val="0"/>
          <w:sz w:val="31"/>
          <w:szCs w:val="31"/>
          <w:highlight w:val="none"/>
          <w:shd w:val="clear" w:fill="FFFFFF"/>
          <w:lang w:val="en-US" w:eastAsia="zh-CN"/>
        </w:rPr>
        <w:t>2024</w:t>
      </w:r>
      <w:r>
        <w:rPr>
          <w:rFonts w:hint="eastAsia" w:ascii="仿宋_GB2312" w:hAnsi="宋体" w:eastAsia="仿宋_GB2312" w:cs="仿宋_GB2312"/>
          <w:i w:val="0"/>
          <w:iCs w:val="0"/>
          <w:caps w:val="0"/>
          <w:color w:val="000000"/>
          <w:spacing w:val="0"/>
          <w:sz w:val="31"/>
          <w:szCs w:val="31"/>
          <w:highlight w:val="none"/>
          <w:shd w:val="clear" w:fill="FFFFFF"/>
        </w:rPr>
        <w:t>年预算不包含上级转移支付</w:t>
      </w:r>
      <w:r>
        <w:rPr>
          <w:rFonts w:hint="eastAsia" w:ascii="仿宋_GB2312"/>
          <w:szCs w:val="32"/>
          <w:highlight w:val="none"/>
        </w:rPr>
        <w:t>。总支出较上年减</w:t>
      </w:r>
      <w:r>
        <w:rPr>
          <w:rFonts w:hint="eastAsia" w:ascii="仿宋_GB2312"/>
          <w:szCs w:val="32"/>
          <w:highlight w:val="none"/>
          <w:lang w:eastAsia="zh-CN"/>
        </w:rPr>
        <w:t>少</w:t>
      </w:r>
      <w:r>
        <w:rPr>
          <w:rFonts w:hint="eastAsia" w:ascii="仿宋_GB2312"/>
          <w:szCs w:val="32"/>
          <w:highlight w:val="none"/>
          <w:lang w:val="en-US" w:eastAsia="zh-CN"/>
        </w:rPr>
        <w:t>299.22万元，下降11.92</w:t>
      </w:r>
      <w:r>
        <w:rPr>
          <w:rFonts w:hint="eastAsia" w:ascii="仿宋_GB2312"/>
          <w:szCs w:val="32"/>
          <w:highlight w:val="none"/>
        </w:rPr>
        <w:t>%，主要原因是</w:t>
      </w:r>
      <w:r>
        <w:rPr>
          <w:rFonts w:ascii="仿宋_GB2312" w:hAnsi="宋体" w:eastAsia="仿宋_GB2312" w:cs="仿宋_GB2312"/>
          <w:i w:val="0"/>
          <w:iCs w:val="0"/>
          <w:caps w:val="0"/>
          <w:color w:val="000000"/>
          <w:spacing w:val="0"/>
          <w:sz w:val="31"/>
          <w:szCs w:val="31"/>
          <w:highlight w:val="none"/>
          <w:shd w:val="clear" w:fill="FFFFFF"/>
        </w:rPr>
        <w:t>按照财政统一工作部署，</w:t>
      </w:r>
      <w:r>
        <w:rPr>
          <w:rFonts w:hint="eastAsia" w:ascii="仿宋_GB2312" w:hAnsi="宋体" w:cs="仿宋_GB2312"/>
          <w:i w:val="0"/>
          <w:iCs w:val="0"/>
          <w:caps w:val="0"/>
          <w:color w:val="000000"/>
          <w:spacing w:val="0"/>
          <w:sz w:val="31"/>
          <w:szCs w:val="31"/>
          <w:highlight w:val="none"/>
          <w:shd w:val="clear" w:fill="FFFFFF"/>
          <w:lang w:val="en-US" w:eastAsia="zh-CN"/>
        </w:rPr>
        <w:t>2024</w:t>
      </w:r>
      <w:r>
        <w:rPr>
          <w:rFonts w:hint="eastAsia" w:ascii="仿宋_GB2312" w:hAnsi="宋体" w:eastAsia="仿宋_GB2312" w:cs="仿宋_GB2312"/>
          <w:i w:val="0"/>
          <w:iCs w:val="0"/>
          <w:caps w:val="0"/>
          <w:color w:val="000000"/>
          <w:spacing w:val="0"/>
          <w:sz w:val="31"/>
          <w:szCs w:val="31"/>
          <w:highlight w:val="none"/>
          <w:shd w:val="clear" w:fill="FFFFFF"/>
        </w:rPr>
        <w:t>年预算不包含上级转移支付</w:t>
      </w:r>
      <w:r>
        <w:rPr>
          <w:rFonts w:hint="eastAsia" w:ascii="仿宋_GB2312" w:hAnsi="宋体" w:cs="仿宋_GB2312"/>
          <w:i w:val="0"/>
          <w:iCs w:val="0"/>
          <w:caps w:val="0"/>
          <w:color w:val="000000"/>
          <w:spacing w:val="0"/>
          <w:sz w:val="31"/>
          <w:szCs w:val="31"/>
          <w:highlight w:val="none"/>
          <w:shd w:val="clear" w:fill="FFFFFF"/>
          <w:lang w:eastAsia="zh-CN"/>
        </w:rPr>
        <w:t>。</w:t>
      </w:r>
    </w:p>
    <w:p>
      <w:pPr>
        <w:tabs>
          <w:tab w:val="center" w:pos="4475"/>
        </w:tabs>
        <w:spacing w:line="560" w:lineRule="exact"/>
        <w:ind w:firstLine="645"/>
        <w:rPr>
          <w:rFonts w:ascii="黑体" w:eastAsia="黑体"/>
          <w:szCs w:val="32"/>
          <w:highlight w:val="none"/>
        </w:rPr>
      </w:pPr>
      <w:r>
        <w:rPr>
          <w:rFonts w:hint="eastAsia" w:ascii="黑体" w:eastAsia="黑体"/>
          <w:szCs w:val="32"/>
          <w:highlight w:val="none"/>
        </w:rPr>
        <w:t>二、</w:t>
      </w:r>
      <w:r>
        <w:rPr>
          <w:rFonts w:hint="eastAsia" w:ascii="黑体" w:eastAsia="黑体"/>
          <w:szCs w:val="32"/>
          <w:highlight w:val="none"/>
          <w:lang w:eastAsia="zh-CN"/>
        </w:rPr>
        <w:t>部门</w:t>
      </w:r>
      <w:r>
        <w:rPr>
          <w:rFonts w:hint="eastAsia" w:ascii="黑体" w:eastAsia="黑体"/>
          <w:szCs w:val="32"/>
          <w:highlight w:val="none"/>
        </w:rPr>
        <w:t>收入总体情况说明</w:t>
      </w:r>
    </w:p>
    <w:p>
      <w:pPr>
        <w:tabs>
          <w:tab w:val="center" w:pos="4475"/>
        </w:tabs>
        <w:spacing w:line="560" w:lineRule="exact"/>
        <w:ind w:firstLine="645"/>
        <w:rPr>
          <w:rFonts w:hint="eastAsia" w:ascii="仿宋_GB2312" w:hAnsi="宋体" w:eastAsia="仿宋_GB2312" w:cs="仿宋_GB2312"/>
          <w:i w:val="0"/>
          <w:iCs w:val="0"/>
          <w:caps w:val="0"/>
          <w:color w:val="000000"/>
          <w:spacing w:val="0"/>
          <w:sz w:val="31"/>
          <w:szCs w:val="31"/>
          <w:highlight w:val="none"/>
          <w:shd w:val="clear" w:fill="FFFFFF"/>
          <w:lang w:eastAsia="zh-CN"/>
        </w:rPr>
      </w:pPr>
      <w:r>
        <w:rPr>
          <w:rFonts w:hint="eastAsia" w:ascii="仿宋_GB2312"/>
          <w:szCs w:val="32"/>
          <w:highlight w:val="none"/>
          <w:lang w:eastAsia="zh-CN"/>
        </w:rPr>
        <w:t>我部门</w:t>
      </w:r>
      <w:r>
        <w:rPr>
          <w:rFonts w:hint="eastAsia" w:ascii="仿宋_GB2312"/>
          <w:szCs w:val="32"/>
          <w:highlight w:val="none"/>
        </w:rPr>
        <w:t>总收入</w:t>
      </w:r>
      <w:r>
        <w:rPr>
          <w:rFonts w:hint="eastAsia" w:ascii="仿宋_GB2312"/>
          <w:szCs w:val="32"/>
          <w:highlight w:val="none"/>
          <w:lang w:val="en-US" w:eastAsia="zh-CN"/>
        </w:rPr>
        <w:t>2211.98</w:t>
      </w:r>
      <w:r>
        <w:rPr>
          <w:rFonts w:hint="eastAsia" w:ascii="仿宋_GB2312"/>
          <w:szCs w:val="32"/>
          <w:highlight w:val="none"/>
        </w:rPr>
        <w:t>万元，</w:t>
      </w:r>
      <w:r>
        <w:rPr>
          <w:rFonts w:hint="eastAsia" w:ascii="仿宋_GB2312"/>
          <w:szCs w:val="32"/>
          <w:highlight w:val="none"/>
          <w:lang w:eastAsia="zh-CN"/>
        </w:rPr>
        <w:t>较</w:t>
      </w:r>
      <w:r>
        <w:rPr>
          <w:rFonts w:hint="eastAsia" w:ascii="仿宋_GB2312"/>
          <w:szCs w:val="32"/>
          <w:highlight w:val="none"/>
          <w:lang w:val="en-US" w:eastAsia="zh-CN"/>
        </w:rPr>
        <w:t>2023年减少299.22万元，下降11.92</w:t>
      </w:r>
      <w:r>
        <w:rPr>
          <w:rFonts w:hint="eastAsia" w:ascii="仿宋_GB2312"/>
          <w:szCs w:val="32"/>
          <w:highlight w:val="none"/>
        </w:rPr>
        <w:t xml:space="preserve"> %</w:t>
      </w:r>
      <w:r>
        <w:rPr>
          <w:rFonts w:hint="eastAsia" w:ascii="仿宋_GB2312"/>
          <w:szCs w:val="32"/>
          <w:highlight w:val="none"/>
          <w:lang w:eastAsia="zh-CN"/>
        </w:rPr>
        <w:t>。</w:t>
      </w:r>
      <w:r>
        <w:rPr>
          <w:rFonts w:hint="eastAsia" w:ascii="仿宋_GB2312"/>
          <w:szCs w:val="32"/>
          <w:highlight w:val="none"/>
        </w:rPr>
        <w:t>主要原因是</w:t>
      </w:r>
      <w:r>
        <w:rPr>
          <w:rFonts w:ascii="仿宋_GB2312" w:hAnsi="宋体" w:eastAsia="仿宋_GB2312" w:cs="仿宋_GB2312"/>
          <w:i w:val="0"/>
          <w:iCs w:val="0"/>
          <w:caps w:val="0"/>
          <w:color w:val="000000"/>
          <w:spacing w:val="0"/>
          <w:sz w:val="31"/>
          <w:szCs w:val="31"/>
          <w:highlight w:val="none"/>
          <w:shd w:val="clear" w:fill="FFFFFF"/>
        </w:rPr>
        <w:t>按照财政统一工作部署，</w:t>
      </w:r>
      <w:r>
        <w:rPr>
          <w:rFonts w:hint="eastAsia" w:ascii="仿宋_GB2312" w:hAnsi="宋体" w:cs="仿宋_GB2312"/>
          <w:i w:val="0"/>
          <w:iCs w:val="0"/>
          <w:caps w:val="0"/>
          <w:color w:val="000000"/>
          <w:spacing w:val="0"/>
          <w:sz w:val="31"/>
          <w:szCs w:val="31"/>
          <w:highlight w:val="none"/>
          <w:shd w:val="clear" w:fill="FFFFFF"/>
          <w:lang w:val="en-US" w:eastAsia="zh-CN"/>
        </w:rPr>
        <w:t>2024</w:t>
      </w:r>
      <w:r>
        <w:rPr>
          <w:rFonts w:hint="eastAsia" w:ascii="仿宋_GB2312" w:hAnsi="宋体" w:eastAsia="仿宋_GB2312" w:cs="仿宋_GB2312"/>
          <w:i w:val="0"/>
          <w:iCs w:val="0"/>
          <w:caps w:val="0"/>
          <w:color w:val="000000"/>
          <w:spacing w:val="0"/>
          <w:sz w:val="31"/>
          <w:szCs w:val="31"/>
          <w:highlight w:val="none"/>
          <w:shd w:val="clear" w:fill="FFFFFF"/>
        </w:rPr>
        <w:t>年预算不包含上级转移支付</w:t>
      </w:r>
      <w:r>
        <w:rPr>
          <w:rFonts w:hint="eastAsia" w:ascii="仿宋_GB2312" w:hAnsi="宋体" w:cs="仿宋_GB2312"/>
          <w:i w:val="0"/>
          <w:iCs w:val="0"/>
          <w:caps w:val="0"/>
          <w:color w:val="000000"/>
          <w:spacing w:val="0"/>
          <w:sz w:val="31"/>
          <w:szCs w:val="31"/>
          <w:highlight w:val="none"/>
          <w:shd w:val="clear" w:fill="FFFFFF"/>
          <w:lang w:eastAsia="zh-CN"/>
        </w:rPr>
        <w:t>。</w:t>
      </w:r>
    </w:p>
    <w:p>
      <w:pPr>
        <w:tabs>
          <w:tab w:val="center" w:pos="4475"/>
        </w:tabs>
        <w:spacing w:line="560" w:lineRule="exact"/>
        <w:ind w:firstLine="645"/>
        <w:rPr>
          <w:rFonts w:ascii="黑体" w:eastAsia="黑体"/>
          <w:szCs w:val="32"/>
          <w:highlight w:val="none"/>
        </w:rPr>
      </w:pPr>
      <w:r>
        <w:rPr>
          <w:rFonts w:hint="eastAsia" w:ascii="黑体" w:eastAsia="黑体"/>
          <w:szCs w:val="32"/>
          <w:highlight w:val="none"/>
        </w:rPr>
        <w:t>三、</w:t>
      </w:r>
      <w:r>
        <w:rPr>
          <w:rFonts w:hint="eastAsia" w:ascii="黑体" w:eastAsia="黑体"/>
          <w:szCs w:val="32"/>
          <w:highlight w:val="none"/>
          <w:lang w:eastAsia="zh-CN"/>
        </w:rPr>
        <w:t>部门</w:t>
      </w:r>
      <w:r>
        <w:rPr>
          <w:rFonts w:hint="eastAsia" w:ascii="黑体" w:eastAsia="黑体"/>
          <w:szCs w:val="32"/>
          <w:highlight w:val="none"/>
        </w:rPr>
        <w:t>支出总体情况说明</w:t>
      </w:r>
    </w:p>
    <w:p>
      <w:pPr>
        <w:tabs>
          <w:tab w:val="center" w:pos="4475"/>
        </w:tabs>
        <w:spacing w:line="560" w:lineRule="exact"/>
        <w:ind w:firstLine="645"/>
        <w:rPr>
          <w:rFonts w:hint="eastAsia" w:ascii="仿宋_GB2312"/>
          <w:szCs w:val="32"/>
          <w:highlight w:val="none"/>
        </w:rPr>
      </w:pPr>
      <w:r>
        <w:rPr>
          <w:rFonts w:hint="eastAsia" w:ascii="仿宋_GB2312"/>
          <w:szCs w:val="32"/>
          <w:highlight w:val="none"/>
          <w:lang w:eastAsia="zh-CN"/>
        </w:rPr>
        <w:t>我部门</w:t>
      </w:r>
      <w:r>
        <w:rPr>
          <w:rFonts w:hint="eastAsia" w:ascii="仿宋_GB2312"/>
          <w:szCs w:val="32"/>
          <w:highlight w:val="none"/>
        </w:rPr>
        <w:t>总支出</w:t>
      </w:r>
      <w:r>
        <w:rPr>
          <w:rFonts w:hint="eastAsia" w:ascii="仿宋_GB2312"/>
          <w:szCs w:val="32"/>
          <w:highlight w:val="none"/>
          <w:lang w:val="en-US" w:eastAsia="zh-CN"/>
        </w:rPr>
        <w:t>2211.98</w:t>
      </w:r>
      <w:r>
        <w:rPr>
          <w:rFonts w:hint="eastAsia" w:ascii="仿宋_GB2312"/>
          <w:szCs w:val="32"/>
          <w:highlight w:val="none"/>
        </w:rPr>
        <w:t>万元，</w:t>
      </w:r>
      <w:r>
        <w:rPr>
          <w:rFonts w:hint="eastAsia" w:ascii="仿宋_GB2312"/>
          <w:szCs w:val="32"/>
          <w:highlight w:val="none"/>
          <w:lang w:eastAsia="zh-CN"/>
        </w:rPr>
        <w:t>较</w:t>
      </w:r>
      <w:r>
        <w:rPr>
          <w:rFonts w:hint="eastAsia" w:ascii="仿宋_GB2312"/>
          <w:szCs w:val="32"/>
          <w:highlight w:val="none"/>
          <w:lang w:val="en-US" w:eastAsia="zh-CN"/>
        </w:rPr>
        <w:t>2023年减少299.22万元，</w:t>
      </w:r>
      <w:r>
        <w:rPr>
          <w:rFonts w:hint="eastAsia" w:ascii="仿宋_GB2312"/>
          <w:szCs w:val="32"/>
          <w:highlight w:val="none"/>
          <w:lang w:eastAsia="zh-CN"/>
        </w:rPr>
        <w:t>下降</w:t>
      </w:r>
      <w:r>
        <w:rPr>
          <w:rFonts w:hint="eastAsia" w:ascii="仿宋_GB2312"/>
          <w:szCs w:val="32"/>
          <w:highlight w:val="none"/>
          <w:lang w:val="en-US" w:eastAsia="zh-CN"/>
        </w:rPr>
        <w:t>11.92</w:t>
      </w:r>
      <w:r>
        <w:rPr>
          <w:rFonts w:hint="eastAsia" w:ascii="仿宋_GB2312"/>
          <w:szCs w:val="32"/>
          <w:highlight w:val="none"/>
        </w:rPr>
        <w:t>%</w:t>
      </w:r>
      <w:r>
        <w:rPr>
          <w:rFonts w:hint="eastAsia" w:ascii="仿宋_GB2312"/>
          <w:szCs w:val="32"/>
          <w:highlight w:val="none"/>
          <w:lang w:eastAsia="zh-CN"/>
        </w:rPr>
        <w:t>，</w:t>
      </w:r>
      <w:r>
        <w:rPr>
          <w:rFonts w:hint="eastAsia" w:ascii="仿宋_GB2312"/>
          <w:szCs w:val="32"/>
          <w:highlight w:val="none"/>
        </w:rPr>
        <w:t>主要原因是</w:t>
      </w:r>
      <w:r>
        <w:rPr>
          <w:rFonts w:ascii="仿宋_GB2312" w:hAnsi="宋体" w:eastAsia="仿宋_GB2312" w:cs="仿宋_GB2312"/>
          <w:i w:val="0"/>
          <w:iCs w:val="0"/>
          <w:caps w:val="0"/>
          <w:color w:val="000000"/>
          <w:spacing w:val="0"/>
          <w:sz w:val="31"/>
          <w:szCs w:val="31"/>
          <w:highlight w:val="none"/>
          <w:shd w:val="clear" w:fill="FFFFFF"/>
        </w:rPr>
        <w:t>按照财政统一工作部署，</w:t>
      </w:r>
      <w:r>
        <w:rPr>
          <w:rFonts w:hint="default" w:ascii="Times New Roman" w:hAnsi="Times New Roman" w:eastAsia="宋体" w:cs="Times New Roman"/>
          <w:i w:val="0"/>
          <w:iCs w:val="0"/>
          <w:caps w:val="0"/>
          <w:color w:val="000000"/>
          <w:spacing w:val="0"/>
          <w:sz w:val="31"/>
          <w:szCs w:val="31"/>
          <w:highlight w:val="none"/>
          <w:shd w:val="clear" w:fill="FFFFFF"/>
        </w:rPr>
        <w:t>2024</w:t>
      </w:r>
      <w:r>
        <w:rPr>
          <w:rFonts w:hint="eastAsia" w:ascii="仿宋_GB2312" w:hAnsi="宋体" w:eastAsia="仿宋_GB2312" w:cs="仿宋_GB2312"/>
          <w:i w:val="0"/>
          <w:iCs w:val="0"/>
          <w:caps w:val="0"/>
          <w:color w:val="000000"/>
          <w:spacing w:val="0"/>
          <w:sz w:val="31"/>
          <w:szCs w:val="31"/>
          <w:highlight w:val="none"/>
          <w:shd w:val="clear" w:fill="FFFFFF"/>
        </w:rPr>
        <w:t>年预算不包含上级转移支付</w:t>
      </w:r>
      <w:r>
        <w:rPr>
          <w:rFonts w:hint="eastAsia" w:ascii="仿宋_GB2312"/>
          <w:szCs w:val="32"/>
          <w:highlight w:val="none"/>
        </w:rPr>
        <w:t>。主要包括：</w:t>
      </w:r>
    </w:p>
    <w:p>
      <w:pPr>
        <w:tabs>
          <w:tab w:val="center" w:pos="4475"/>
        </w:tabs>
        <w:spacing w:line="560" w:lineRule="exact"/>
        <w:ind w:firstLine="645"/>
        <w:rPr>
          <w:rFonts w:hint="eastAsia" w:ascii="仿宋_GB2312"/>
          <w:szCs w:val="32"/>
          <w:highlight w:val="none"/>
          <w:lang w:val="en-US" w:eastAsia="zh-CN"/>
        </w:rPr>
      </w:pPr>
      <w:r>
        <w:rPr>
          <w:rFonts w:hint="eastAsia" w:ascii="仿宋_GB2312"/>
          <w:szCs w:val="32"/>
          <w:highlight w:val="none"/>
          <w:lang w:eastAsia="zh-CN"/>
        </w:rPr>
        <w:t>（一）一般行政管理事务支出</w:t>
      </w:r>
      <w:r>
        <w:rPr>
          <w:rFonts w:hint="eastAsia" w:ascii="仿宋_GB2312"/>
          <w:szCs w:val="32"/>
          <w:highlight w:val="none"/>
          <w:lang w:val="en-US" w:eastAsia="zh-CN"/>
        </w:rPr>
        <w:t>110.00万元，较2023年减少153万元，同比减少57.17%；</w:t>
      </w:r>
    </w:p>
    <w:p>
      <w:pPr>
        <w:tabs>
          <w:tab w:val="center" w:pos="4475"/>
        </w:tabs>
        <w:spacing w:line="560" w:lineRule="exact"/>
        <w:ind w:firstLine="645"/>
        <w:rPr>
          <w:rFonts w:hint="default" w:ascii="仿宋_GB2312"/>
          <w:szCs w:val="32"/>
          <w:highlight w:val="none"/>
          <w:lang w:val="en-US" w:eastAsia="zh-CN"/>
        </w:rPr>
      </w:pPr>
      <w:r>
        <w:rPr>
          <w:rFonts w:hint="eastAsia" w:ascii="仿宋_GB2312"/>
          <w:szCs w:val="32"/>
          <w:highlight w:val="none"/>
          <w:lang w:val="en-US" w:eastAsia="zh-CN"/>
        </w:rPr>
        <w:t>（二）其他巩固脱贫攻坚成果衔接乡村振兴支出1.50万元，与上年持平；</w:t>
      </w:r>
    </w:p>
    <w:p>
      <w:pPr>
        <w:tabs>
          <w:tab w:val="center" w:pos="4475"/>
        </w:tabs>
        <w:spacing w:line="560" w:lineRule="exact"/>
        <w:ind w:firstLine="645"/>
        <w:rPr>
          <w:rFonts w:hint="default" w:ascii="黑体" w:eastAsia="仿宋_GB2312"/>
          <w:szCs w:val="32"/>
          <w:highlight w:val="none"/>
          <w:lang w:val="en-US" w:eastAsia="zh-CN"/>
        </w:rPr>
      </w:pPr>
      <w:r>
        <w:rPr>
          <w:rFonts w:hint="eastAsia" w:ascii="仿宋_GB2312"/>
          <w:szCs w:val="32"/>
          <w:highlight w:val="none"/>
          <w:lang w:val="en-US" w:eastAsia="zh-CN"/>
        </w:rPr>
        <w:t>（三）较上年没有案件审判支出和“两庭”建设支出。</w:t>
      </w:r>
    </w:p>
    <w:p>
      <w:pPr>
        <w:tabs>
          <w:tab w:val="center" w:pos="4475"/>
        </w:tabs>
        <w:spacing w:line="560" w:lineRule="exact"/>
        <w:ind w:firstLine="645"/>
        <w:rPr>
          <w:rFonts w:hint="eastAsia" w:ascii="黑体" w:eastAsia="黑体"/>
          <w:szCs w:val="32"/>
          <w:highlight w:val="none"/>
        </w:rPr>
      </w:pPr>
    </w:p>
    <w:p>
      <w:pPr>
        <w:tabs>
          <w:tab w:val="center" w:pos="4475"/>
        </w:tabs>
        <w:spacing w:line="560" w:lineRule="exact"/>
        <w:ind w:firstLine="645"/>
        <w:rPr>
          <w:rFonts w:ascii="黑体" w:eastAsia="黑体"/>
          <w:szCs w:val="32"/>
          <w:highlight w:val="none"/>
        </w:rPr>
      </w:pPr>
      <w:r>
        <w:rPr>
          <w:rFonts w:hint="eastAsia" w:ascii="黑体" w:eastAsia="黑体"/>
          <w:szCs w:val="32"/>
          <w:highlight w:val="none"/>
        </w:rPr>
        <w:t>四、财政拨款收支总体情况说明</w:t>
      </w:r>
    </w:p>
    <w:p>
      <w:pPr>
        <w:tabs>
          <w:tab w:val="center" w:pos="4475"/>
        </w:tabs>
        <w:spacing w:line="560" w:lineRule="exact"/>
        <w:ind w:firstLine="645"/>
        <w:rPr>
          <w:rFonts w:hint="eastAsia" w:ascii="仿宋_GB2312" w:hAnsi="宋体" w:eastAsia="仿宋_GB2312" w:cs="仿宋_GB2312"/>
          <w:i w:val="0"/>
          <w:iCs w:val="0"/>
          <w:caps w:val="0"/>
          <w:color w:val="000000"/>
          <w:spacing w:val="0"/>
          <w:sz w:val="31"/>
          <w:szCs w:val="31"/>
          <w:highlight w:val="none"/>
          <w:shd w:val="clear" w:fill="FFFFFF"/>
          <w:lang w:eastAsia="zh-CN"/>
        </w:rPr>
      </w:pPr>
      <w:r>
        <w:rPr>
          <w:rFonts w:hint="eastAsia" w:ascii="仿宋_GB2312" w:hAnsi="宋体"/>
          <w:szCs w:val="32"/>
          <w:highlight w:val="none"/>
          <w:lang w:eastAsia="zh-CN"/>
        </w:rPr>
        <w:t>兴安县人民法院</w:t>
      </w:r>
      <w:r>
        <w:rPr>
          <w:rFonts w:hint="eastAsia" w:ascii="仿宋_GB2312"/>
          <w:szCs w:val="32"/>
          <w:highlight w:val="none"/>
        </w:rPr>
        <w:t>财政拨款总收入</w:t>
      </w:r>
      <w:r>
        <w:rPr>
          <w:rFonts w:hint="eastAsia" w:ascii="仿宋_GB2312"/>
          <w:szCs w:val="32"/>
          <w:highlight w:val="none"/>
          <w:lang w:val="en-US" w:eastAsia="zh-CN"/>
        </w:rPr>
        <w:t>2211.98</w:t>
      </w:r>
      <w:r>
        <w:rPr>
          <w:rFonts w:hint="eastAsia" w:ascii="仿宋_GB2312"/>
          <w:szCs w:val="32"/>
          <w:highlight w:val="none"/>
        </w:rPr>
        <w:t xml:space="preserve"> 万元，总支出</w:t>
      </w:r>
      <w:r>
        <w:rPr>
          <w:rFonts w:hint="eastAsia" w:ascii="仿宋_GB2312"/>
          <w:szCs w:val="32"/>
          <w:highlight w:val="none"/>
          <w:lang w:val="en-US" w:eastAsia="zh-CN"/>
        </w:rPr>
        <w:t>2211.98</w:t>
      </w:r>
      <w:r>
        <w:rPr>
          <w:rFonts w:hint="eastAsia" w:ascii="仿宋_GB2312"/>
          <w:szCs w:val="32"/>
          <w:highlight w:val="none"/>
        </w:rPr>
        <w:t xml:space="preserve"> 万元（不含财政拨款上年未列支结转收支数）。财政拨款总收入较</w:t>
      </w:r>
      <w:r>
        <w:rPr>
          <w:rFonts w:hint="eastAsia" w:ascii="仿宋_GB2312"/>
          <w:szCs w:val="32"/>
          <w:highlight w:val="none"/>
          <w:lang w:val="en-US" w:eastAsia="zh-CN"/>
        </w:rPr>
        <w:t>2023年</w:t>
      </w:r>
      <w:r>
        <w:rPr>
          <w:rFonts w:hint="eastAsia" w:ascii="仿宋_GB2312"/>
          <w:szCs w:val="32"/>
          <w:highlight w:val="none"/>
        </w:rPr>
        <w:t>减</w:t>
      </w:r>
      <w:r>
        <w:rPr>
          <w:rFonts w:hint="eastAsia" w:ascii="仿宋_GB2312"/>
          <w:szCs w:val="32"/>
          <w:highlight w:val="none"/>
          <w:lang w:eastAsia="zh-CN"/>
        </w:rPr>
        <w:t>少</w:t>
      </w:r>
      <w:r>
        <w:rPr>
          <w:rFonts w:hint="eastAsia" w:ascii="仿宋_GB2312"/>
          <w:szCs w:val="32"/>
          <w:highlight w:val="none"/>
          <w:lang w:val="en-US" w:eastAsia="zh-CN"/>
        </w:rPr>
        <w:t>299.22万元，下降11.92</w:t>
      </w:r>
      <w:r>
        <w:rPr>
          <w:rFonts w:hint="eastAsia" w:ascii="仿宋_GB2312"/>
          <w:szCs w:val="32"/>
          <w:highlight w:val="none"/>
        </w:rPr>
        <w:t>%，主要原因是</w:t>
      </w:r>
      <w:r>
        <w:rPr>
          <w:rFonts w:ascii="仿宋_GB2312" w:hAnsi="宋体" w:eastAsia="仿宋_GB2312" w:cs="仿宋_GB2312"/>
          <w:i w:val="0"/>
          <w:iCs w:val="0"/>
          <w:caps w:val="0"/>
          <w:color w:val="000000"/>
          <w:spacing w:val="0"/>
          <w:sz w:val="31"/>
          <w:szCs w:val="31"/>
          <w:highlight w:val="none"/>
          <w:shd w:val="clear" w:fill="FFFFFF"/>
        </w:rPr>
        <w:t>按照财政统一工作部署，</w:t>
      </w:r>
      <w:r>
        <w:rPr>
          <w:rFonts w:hint="eastAsia" w:ascii="仿宋_GB2312" w:hAnsi="宋体" w:cs="仿宋_GB2312"/>
          <w:i w:val="0"/>
          <w:iCs w:val="0"/>
          <w:caps w:val="0"/>
          <w:color w:val="000000"/>
          <w:spacing w:val="0"/>
          <w:sz w:val="31"/>
          <w:szCs w:val="31"/>
          <w:highlight w:val="none"/>
          <w:shd w:val="clear" w:fill="FFFFFF"/>
          <w:lang w:val="en-US" w:eastAsia="zh-CN"/>
        </w:rPr>
        <w:t>2024</w:t>
      </w:r>
      <w:r>
        <w:rPr>
          <w:rFonts w:hint="eastAsia" w:ascii="仿宋_GB2312" w:hAnsi="宋体" w:eastAsia="仿宋_GB2312" w:cs="仿宋_GB2312"/>
          <w:i w:val="0"/>
          <w:iCs w:val="0"/>
          <w:caps w:val="0"/>
          <w:color w:val="000000"/>
          <w:spacing w:val="0"/>
          <w:sz w:val="31"/>
          <w:szCs w:val="31"/>
          <w:highlight w:val="none"/>
          <w:shd w:val="clear" w:fill="FFFFFF"/>
        </w:rPr>
        <w:t>年预算不包含上级转移支付</w:t>
      </w:r>
      <w:r>
        <w:rPr>
          <w:rFonts w:hint="eastAsia" w:ascii="仿宋_GB2312" w:hAnsi="宋体" w:cs="仿宋_GB2312"/>
          <w:i w:val="0"/>
          <w:iCs w:val="0"/>
          <w:caps w:val="0"/>
          <w:color w:val="000000"/>
          <w:spacing w:val="0"/>
          <w:sz w:val="31"/>
          <w:szCs w:val="31"/>
          <w:highlight w:val="none"/>
          <w:shd w:val="clear" w:fill="FFFFFF"/>
          <w:lang w:eastAsia="zh-CN"/>
        </w:rPr>
        <w:t>。</w:t>
      </w:r>
      <w:r>
        <w:rPr>
          <w:rFonts w:hint="eastAsia" w:ascii="仿宋_GB2312"/>
          <w:szCs w:val="32"/>
          <w:highlight w:val="none"/>
        </w:rPr>
        <w:t>财政拨款总支出较</w:t>
      </w:r>
      <w:r>
        <w:rPr>
          <w:rFonts w:hint="eastAsia" w:ascii="仿宋_GB2312"/>
          <w:szCs w:val="32"/>
          <w:highlight w:val="none"/>
          <w:lang w:val="en-US" w:eastAsia="zh-CN"/>
        </w:rPr>
        <w:t>2023年减少299.22万元，下降11.92</w:t>
      </w:r>
      <w:r>
        <w:rPr>
          <w:rFonts w:hint="eastAsia" w:ascii="仿宋_GB2312"/>
          <w:szCs w:val="32"/>
          <w:highlight w:val="none"/>
        </w:rPr>
        <w:t>%，主要原因是</w:t>
      </w:r>
      <w:r>
        <w:rPr>
          <w:rFonts w:ascii="仿宋_GB2312" w:hAnsi="宋体" w:eastAsia="仿宋_GB2312" w:cs="仿宋_GB2312"/>
          <w:i w:val="0"/>
          <w:iCs w:val="0"/>
          <w:caps w:val="0"/>
          <w:color w:val="000000"/>
          <w:spacing w:val="0"/>
          <w:sz w:val="31"/>
          <w:szCs w:val="31"/>
          <w:highlight w:val="none"/>
          <w:shd w:val="clear" w:fill="FFFFFF"/>
        </w:rPr>
        <w:t>按照财政统一工作部署，</w:t>
      </w:r>
      <w:r>
        <w:rPr>
          <w:rFonts w:hint="eastAsia" w:ascii="仿宋_GB2312" w:hAnsi="宋体" w:cs="仿宋_GB2312"/>
          <w:i w:val="0"/>
          <w:iCs w:val="0"/>
          <w:caps w:val="0"/>
          <w:color w:val="000000"/>
          <w:spacing w:val="0"/>
          <w:sz w:val="31"/>
          <w:szCs w:val="31"/>
          <w:highlight w:val="none"/>
          <w:shd w:val="clear" w:fill="FFFFFF"/>
          <w:lang w:val="en-US" w:eastAsia="zh-CN"/>
        </w:rPr>
        <w:t>2024</w:t>
      </w:r>
      <w:r>
        <w:rPr>
          <w:rFonts w:hint="eastAsia" w:ascii="仿宋_GB2312" w:hAnsi="宋体" w:eastAsia="仿宋_GB2312" w:cs="仿宋_GB2312"/>
          <w:i w:val="0"/>
          <w:iCs w:val="0"/>
          <w:caps w:val="0"/>
          <w:color w:val="000000"/>
          <w:spacing w:val="0"/>
          <w:sz w:val="31"/>
          <w:szCs w:val="31"/>
          <w:highlight w:val="none"/>
          <w:shd w:val="clear" w:fill="FFFFFF"/>
        </w:rPr>
        <w:t>年预算不包含上级转移支付</w:t>
      </w:r>
      <w:r>
        <w:rPr>
          <w:rFonts w:hint="eastAsia" w:ascii="仿宋_GB2312" w:hAnsi="宋体" w:cs="仿宋_GB2312"/>
          <w:i w:val="0"/>
          <w:iCs w:val="0"/>
          <w:caps w:val="0"/>
          <w:color w:val="000000"/>
          <w:spacing w:val="0"/>
          <w:sz w:val="31"/>
          <w:szCs w:val="31"/>
          <w:highlight w:val="none"/>
          <w:shd w:val="clear" w:fill="FFFFFF"/>
          <w:lang w:eastAsia="zh-CN"/>
        </w:rPr>
        <w:t>。</w:t>
      </w:r>
    </w:p>
    <w:p>
      <w:pPr>
        <w:tabs>
          <w:tab w:val="center" w:pos="4475"/>
        </w:tabs>
        <w:spacing w:line="560" w:lineRule="exact"/>
        <w:ind w:firstLine="645"/>
        <w:rPr>
          <w:rFonts w:ascii="黑体" w:eastAsia="黑体"/>
          <w:szCs w:val="32"/>
          <w:highlight w:val="none"/>
        </w:rPr>
      </w:pPr>
      <w:r>
        <w:rPr>
          <w:rFonts w:hint="eastAsia" w:ascii="黑体" w:eastAsia="黑体"/>
          <w:szCs w:val="32"/>
          <w:highlight w:val="none"/>
        </w:rPr>
        <w:t>五、一般公共预算支出情况说明</w:t>
      </w:r>
    </w:p>
    <w:p>
      <w:pPr>
        <w:tabs>
          <w:tab w:val="center" w:pos="4475"/>
        </w:tabs>
        <w:spacing w:line="560" w:lineRule="exact"/>
        <w:ind w:firstLine="645"/>
        <w:rPr>
          <w:rFonts w:hint="eastAsia" w:ascii="仿宋_GB2312"/>
          <w:szCs w:val="32"/>
          <w:highlight w:val="none"/>
          <w:lang w:eastAsia="zh-CN"/>
        </w:rPr>
      </w:pPr>
      <w:r>
        <w:rPr>
          <w:rFonts w:hint="eastAsia" w:ascii="仿宋_GB2312"/>
          <w:szCs w:val="32"/>
          <w:highlight w:val="none"/>
          <w:lang w:eastAsia="zh-CN"/>
        </w:rPr>
        <w:t>（一）总体情况说明</w:t>
      </w:r>
    </w:p>
    <w:p>
      <w:pPr>
        <w:tabs>
          <w:tab w:val="center" w:pos="4475"/>
        </w:tabs>
        <w:spacing w:line="560" w:lineRule="exact"/>
        <w:ind w:firstLine="645"/>
        <w:rPr>
          <w:rFonts w:hint="eastAsia" w:ascii="仿宋_GB2312"/>
          <w:szCs w:val="32"/>
          <w:highlight w:val="none"/>
        </w:rPr>
      </w:pPr>
      <w:r>
        <w:rPr>
          <w:rFonts w:hint="eastAsia" w:ascii="仿宋_GB2312"/>
          <w:szCs w:val="32"/>
          <w:highlight w:val="none"/>
          <w:lang w:eastAsia="zh-CN"/>
        </w:rPr>
        <w:t>兴安县人民法院</w:t>
      </w:r>
      <w:r>
        <w:rPr>
          <w:rFonts w:hint="eastAsia" w:ascii="仿宋_GB2312"/>
          <w:szCs w:val="32"/>
          <w:highlight w:val="none"/>
        </w:rPr>
        <w:t>一般公共预算支出共</w:t>
      </w:r>
      <w:r>
        <w:rPr>
          <w:rFonts w:hint="eastAsia" w:ascii="仿宋_GB2312"/>
          <w:szCs w:val="32"/>
          <w:highlight w:val="none"/>
          <w:lang w:val="en-US" w:eastAsia="zh-CN"/>
        </w:rPr>
        <w:t>2211.98</w:t>
      </w:r>
      <w:r>
        <w:rPr>
          <w:rFonts w:ascii="仿宋_GB2312"/>
          <w:szCs w:val="32"/>
          <w:highlight w:val="none"/>
        </w:rPr>
        <w:t xml:space="preserve"> </w:t>
      </w:r>
      <w:r>
        <w:rPr>
          <w:rFonts w:hint="eastAsia" w:ascii="仿宋_GB2312"/>
          <w:szCs w:val="32"/>
          <w:highlight w:val="none"/>
        </w:rPr>
        <w:t>万元，较上年减少</w:t>
      </w:r>
      <w:r>
        <w:rPr>
          <w:rFonts w:hint="eastAsia" w:ascii="仿宋_GB2312"/>
          <w:szCs w:val="32"/>
          <w:highlight w:val="none"/>
          <w:lang w:val="en-US" w:eastAsia="zh-CN"/>
        </w:rPr>
        <w:t>299.22万元，下降11.92</w:t>
      </w:r>
      <w:r>
        <w:rPr>
          <w:rFonts w:hint="eastAsia" w:ascii="仿宋_GB2312"/>
          <w:szCs w:val="32"/>
          <w:highlight w:val="none"/>
        </w:rPr>
        <w:t>%，主要原因是</w:t>
      </w:r>
      <w:r>
        <w:rPr>
          <w:rFonts w:ascii="仿宋_GB2312" w:hAnsi="宋体" w:eastAsia="仿宋_GB2312" w:cs="仿宋_GB2312"/>
          <w:i w:val="0"/>
          <w:iCs w:val="0"/>
          <w:caps w:val="0"/>
          <w:color w:val="000000"/>
          <w:spacing w:val="0"/>
          <w:sz w:val="31"/>
          <w:szCs w:val="31"/>
          <w:highlight w:val="none"/>
          <w:shd w:val="clear" w:fill="FFFFFF"/>
        </w:rPr>
        <w:t>按照财政统一工作部署，</w:t>
      </w:r>
      <w:r>
        <w:rPr>
          <w:rFonts w:hint="eastAsia" w:ascii="仿宋_GB2312" w:hAnsi="宋体" w:cs="仿宋_GB2312"/>
          <w:i w:val="0"/>
          <w:iCs w:val="0"/>
          <w:caps w:val="0"/>
          <w:color w:val="000000"/>
          <w:spacing w:val="0"/>
          <w:sz w:val="31"/>
          <w:szCs w:val="31"/>
          <w:highlight w:val="none"/>
          <w:shd w:val="clear" w:fill="FFFFFF"/>
          <w:lang w:val="en-US" w:eastAsia="zh-CN"/>
        </w:rPr>
        <w:t>2024</w:t>
      </w:r>
      <w:r>
        <w:rPr>
          <w:rFonts w:hint="eastAsia" w:ascii="仿宋_GB2312" w:hAnsi="宋体" w:eastAsia="仿宋_GB2312" w:cs="仿宋_GB2312"/>
          <w:i w:val="0"/>
          <w:iCs w:val="0"/>
          <w:caps w:val="0"/>
          <w:color w:val="000000"/>
          <w:spacing w:val="0"/>
          <w:sz w:val="31"/>
          <w:szCs w:val="31"/>
          <w:highlight w:val="none"/>
          <w:shd w:val="clear" w:fill="FFFFFF"/>
        </w:rPr>
        <w:t>年预算不包含上级转移支付</w:t>
      </w:r>
      <w:r>
        <w:rPr>
          <w:rFonts w:hint="eastAsia" w:ascii="仿宋_GB2312"/>
          <w:szCs w:val="32"/>
          <w:highlight w:val="none"/>
        </w:rPr>
        <w:t>。</w:t>
      </w:r>
    </w:p>
    <w:p>
      <w:pPr>
        <w:tabs>
          <w:tab w:val="center" w:pos="4475"/>
        </w:tabs>
        <w:spacing w:line="560" w:lineRule="exact"/>
        <w:ind w:firstLine="645"/>
        <w:rPr>
          <w:rFonts w:hint="eastAsia" w:ascii="仿宋_GB2312" w:eastAsia="仿宋_GB2312"/>
          <w:szCs w:val="32"/>
          <w:highlight w:val="none"/>
          <w:lang w:eastAsia="zh-CN"/>
        </w:rPr>
      </w:pPr>
      <w:r>
        <w:rPr>
          <w:rFonts w:hint="eastAsia" w:ascii="仿宋_GB2312"/>
          <w:szCs w:val="32"/>
          <w:highlight w:val="none"/>
          <w:lang w:eastAsia="zh-CN"/>
        </w:rPr>
        <w:t>（二）按支出功能分类科目划分</w:t>
      </w:r>
    </w:p>
    <w:p>
      <w:pPr>
        <w:tabs>
          <w:tab w:val="center" w:pos="4475"/>
        </w:tabs>
        <w:spacing w:line="560" w:lineRule="exact"/>
        <w:ind w:firstLine="645"/>
        <w:rPr>
          <w:rFonts w:hint="eastAsia" w:ascii="仿宋_GB2312"/>
          <w:szCs w:val="32"/>
          <w:highlight w:val="none"/>
          <w:lang w:val="en-US" w:eastAsia="zh-CN"/>
        </w:rPr>
      </w:pPr>
      <w:r>
        <w:rPr>
          <w:rFonts w:hint="eastAsia" w:ascii="仿宋_GB2312"/>
          <w:szCs w:val="32"/>
          <w:highlight w:val="none"/>
          <w:lang w:eastAsia="zh-CN"/>
        </w:rPr>
        <w:t>（</w:t>
      </w:r>
      <w:r>
        <w:rPr>
          <w:rFonts w:hint="eastAsia" w:ascii="仿宋_GB2312"/>
          <w:szCs w:val="32"/>
          <w:highlight w:val="none"/>
          <w:lang w:val="en-US" w:eastAsia="zh-CN"/>
        </w:rPr>
        <w:t>1</w:t>
      </w:r>
      <w:r>
        <w:rPr>
          <w:rFonts w:hint="eastAsia" w:ascii="仿宋_GB2312"/>
          <w:szCs w:val="32"/>
          <w:highlight w:val="none"/>
          <w:lang w:eastAsia="zh-CN"/>
        </w:rPr>
        <w:t>）行政运行科目</w:t>
      </w:r>
      <w:r>
        <w:rPr>
          <w:rFonts w:hint="eastAsia" w:ascii="仿宋_GB2312"/>
          <w:szCs w:val="32"/>
          <w:highlight w:val="none"/>
          <w:lang w:val="en-US" w:eastAsia="zh-CN"/>
        </w:rPr>
        <w:t>1238.79万元，占支出总预算56%，较上年增加221.06万元，同比增加21.72%。</w:t>
      </w:r>
    </w:p>
    <w:p>
      <w:pPr>
        <w:tabs>
          <w:tab w:val="center" w:pos="4475"/>
        </w:tabs>
        <w:spacing w:line="560" w:lineRule="exact"/>
        <w:ind w:firstLine="645"/>
        <w:rPr>
          <w:rFonts w:hint="eastAsia" w:ascii="仿宋_GB2312"/>
          <w:szCs w:val="32"/>
          <w:highlight w:val="none"/>
          <w:lang w:val="en-US" w:eastAsia="zh-CN"/>
        </w:rPr>
      </w:pPr>
      <w:r>
        <w:rPr>
          <w:rFonts w:hint="eastAsia" w:ascii="仿宋_GB2312"/>
          <w:szCs w:val="32"/>
          <w:highlight w:val="none"/>
          <w:lang w:val="en-US" w:eastAsia="zh-CN"/>
        </w:rPr>
        <w:t>（2）</w:t>
      </w:r>
      <w:r>
        <w:rPr>
          <w:rFonts w:hint="eastAsia" w:ascii="仿宋_GB2312"/>
          <w:szCs w:val="32"/>
          <w:highlight w:val="none"/>
          <w:lang w:eastAsia="zh-CN"/>
        </w:rPr>
        <w:t>一般行政管理事务科目</w:t>
      </w:r>
      <w:r>
        <w:rPr>
          <w:rFonts w:hint="eastAsia" w:ascii="仿宋_GB2312"/>
          <w:szCs w:val="32"/>
          <w:highlight w:val="none"/>
          <w:lang w:val="en-US" w:eastAsia="zh-CN"/>
        </w:rPr>
        <w:t>380.39万元，占支出总预算17.2%，较上年减少152.69万元，同比减少57.57%。</w:t>
      </w:r>
      <w:r>
        <w:rPr>
          <w:rFonts w:ascii="仿宋_GB2312" w:hAnsi="宋体" w:eastAsia="仿宋_GB2312" w:cs="仿宋_GB2312"/>
          <w:i w:val="0"/>
          <w:iCs w:val="0"/>
          <w:caps w:val="0"/>
          <w:color w:val="000000"/>
          <w:spacing w:val="0"/>
          <w:sz w:val="31"/>
          <w:szCs w:val="31"/>
          <w:highlight w:val="none"/>
          <w:shd w:val="clear" w:fill="FFFFFF"/>
        </w:rPr>
        <w:t>主要原因是按照财政统一工作部署，</w:t>
      </w:r>
      <w:r>
        <w:rPr>
          <w:rFonts w:hint="default" w:ascii="Times New Roman" w:hAnsi="Times New Roman" w:eastAsia="宋体" w:cs="Times New Roman"/>
          <w:i w:val="0"/>
          <w:iCs w:val="0"/>
          <w:caps w:val="0"/>
          <w:color w:val="000000"/>
          <w:spacing w:val="0"/>
          <w:sz w:val="31"/>
          <w:szCs w:val="31"/>
          <w:highlight w:val="none"/>
          <w:shd w:val="clear" w:fill="FFFFFF"/>
        </w:rPr>
        <w:t>2024</w:t>
      </w:r>
      <w:r>
        <w:rPr>
          <w:rFonts w:hint="eastAsia" w:ascii="仿宋_GB2312" w:hAnsi="宋体" w:eastAsia="仿宋_GB2312" w:cs="仿宋_GB2312"/>
          <w:i w:val="0"/>
          <w:iCs w:val="0"/>
          <w:caps w:val="0"/>
          <w:color w:val="000000"/>
          <w:spacing w:val="0"/>
          <w:sz w:val="31"/>
          <w:szCs w:val="31"/>
          <w:highlight w:val="none"/>
          <w:shd w:val="clear" w:fill="FFFFFF"/>
        </w:rPr>
        <w:t>年预算不包含上级转移支付。</w:t>
      </w:r>
    </w:p>
    <w:p>
      <w:pPr>
        <w:tabs>
          <w:tab w:val="center" w:pos="4475"/>
        </w:tabs>
        <w:spacing w:line="560" w:lineRule="exact"/>
        <w:ind w:firstLine="645"/>
        <w:rPr>
          <w:rFonts w:hint="eastAsia" w:ascii="仿宋_GB2312"/>
          <w:szCs w:val="32"/>
          <w:highlight w:val="none"/>
          <w:lang w:val="en-US" w:eastAsia="zh-CN"/>
        </w:rPr>
      </w:pPr>
      <w:r>
        <w:rPr>
          <w:rFonts w:hint="eastAsia" w:ascii="仿宋_GB2312"/>
          <w:szCs w:val="32"/>
          <w:highlight w:val="none"/>
          <w:lang w:val="en-US" w:eastAsia="zh-CN"/>
        </w:rPr>
        <w:t>（3）行政单位离退休科目57.60万元，占支出总预算2.6%，较上年增加21.6万元，同比增加60%。</w:t>
      </w:r>
      <w:r>
        <w:rPr>
          <w:rFonts w:ascii="仿宋_GB2312" w:hAnsi="宋体" w:eastAsia="仿宋_GB2312" w:cs="仿宋_GB2312"/>
          <w:i w:val="0"/>
          <w:iCs w:val="0"/>
          <w:caps w:val="0"/>
          <w:color w:val="000000"/>
          <w:spacing w:val="0"/>
          <w:sz w:val="31"/>
          <w:szCs w:val="31"/>
          <w:highlight w:val="none"/>
          <w:shd w:val="clear" w:fill="FFFFFF"/>
        </w:rPr>
        <w:t>主要原因一是退休人数有增长，二是按照相关文件要求，离退休人员补助标准有所提高。</w:t>
      </w:r>
    </w:p>
    <w:p>
      <w:pPr>
        <w:tabs>
          <w:tab w:val="center" w:pos="4475"/>
        </w:tabs>
        <w:spacing w:line="560" w:lineRule="exact"/>
        <w:ind w:firstLine="645"/>
        <w:rPr>
          <w:rFonts w:hint="eastAsia" w:ascii="仿宋_GB2312" w:hAnsi="宋体" w:eastAsia="仿宋_GB2312" w:cs="仿宋_GB2312"/>
          <w:i w:val="0"/>
          <w:iCs w:val="0"/>
          <w:caps w:val="0"/>
          <w:color w:val="000000"/>
          <w:spacing w:val="0"/>
          <w:sz w:val="31"/>
          <w:szCs w:val="31"/>
          <w:highlight w:val="none"/>
          <w:shd w:val="clear" w:fill="FFFFFF"/>
        </w:rPr>
      </w:pPr>
      <w:r>
        <w:rPr>
          <w:rFonts w:hint="eastAsia" w:ascii="仿宋_GB2312"/>
          <w:szCs w:val="32"/>
          <w:highlight w:val="none"/>
          <w:lang w:val="en-US" w:eastAsia="zh-CN"/>
        </w:rPr>
        <w:t>（4）机关事业单位基本养老保险缴费支出科目165.49万元，占支出总预算7.5%，较上年增加36.91万元，同比增加28.7%。</w:t>
      </w:r>
      <w:r>
        <w:rPr>
          <w:rFonts w:ascii="仿宋_GB2312" w:hAnsi="宋体" w:eastAsia="仿宋_GB2312" w:cs="仿宋_GB2312"/>
          <w:i w:val="0"/>
          <w:iCs w:val="0"/>
          <w:caps w:val="0"/>
          <w:color w:val="000000"/>
          <w:spacing w:val="0"/>
          <w:sz w:val="31"/>
          <w:szCs w:val="31"/>
          <w:highlight w:val="none"/>
          <w:shd w:val="clear" w:fill="FFFFFF"/>
        </w:rPr>
        <w:t>主要原因是按照《关于进一步完善自治区以下法院检察院财物统一管理改革有关工作的通知》文件要求，将基层法院所有人员经费纳入</w:t>
      </w:r>
      <w:r>
        <w:rPr>
          <w:rFonts w:hint="eastAsia" w:ascii="仿宋_GB2312" w:hAnsi="宋体" w:cs="仿宋_GB2312"/>
          <w:i w:val="0"/>
          <w:iCs w:val="0"/>
          <w:caps w:val="0"/>
          <w:color w:val="000000"/>
          <w:spacing w:val="0"/>
          <w:sz w:val="31"/>
          <w:szCs w:val="31"/>
          <w:highlight w:val="none"/>
          <w:shd w:val="clear" w:fill="FFFFFF"/>
          <w:lang w:val="en-US" w:eastAsia="zh-CN"/>
        </w:rPr>
        <w:t>2024</w:t>
      </w:r>
      <w:r>
        <w:rPr>
          <w:rFonts w:hint="eastAsia" w:ascii="仿宋_GB2312" w:hAnsi="宋体" w:eastAsia="仿宋_GB2312" w:cs="仿宋_GB2312"/>
          <w:i w:val="0"/>
          <w:iCs w:val="0"/>
          <w:caps w:val="0"/>
          <w:color w:val="000000"/>
          <w:spacing w:val="0"/>
          <w:sz w:val="31"/>
          <w:szCs w:val="31"/>
          <w:highlight w:val="none"/>
          <w:shd w:val="clear" w:fill="FFFFFF"/>
        </w:rPr>
        <w:t>年预算，导致以此为计提基础的机关事业单位基本养老保险同步增长。</w:t>
      </w:r>
    </w:p>
    <w:p>
      <w:pPr>
        <w:tabs>
          <w:tab w:val="center" w:pos="4475"/>
        </w:tabs>
        <w:spacing w:line="560" w:lineRule="exact"/>
        <w:ind w:firstLine="645"/>
        <w:rPr>
          <w:rFonts w:hint="eastAsia" w:ascii="仿宋_GB2312" w:hAnsi="宋体" w:eastAsia="仿宋_GB2312" w:cs="仿宋_GB2312"/>
          <w:i w:val="0"/>
          <w:iCs w:val="0"/>
          <w:caps w:val="0"/>
          <w:color w:val="000000"/>
          <w:spacing w:val="0"/>
          <w:sz w:val="31"/>
          <w:szCs w:val="31"/>
          <w:highlight w:val="none"/>
          <w:shd w:val="clear" w:fill="FFFFFF"/>
        </w:rPr>
      </w:pPr>
      <w:r>
        <w:rPr>
          <w:rFonts w:hint="eastAsia" w:ascii="仿宋_GB2312" w:hAnsi="宋体" w:cs="仿宋_GB2312"/>
          <w:i w:val="0"/>
          <w:iCs w:val="0"/>
          <w:caps w:val="0"/>
          <w:color w:val="000000"/>
          <w:spacing w:val="0"/>
          <w:sz w:val="31"/>
          <w:szCs w:val="31"/>
          <w:highlight w:val="none"/>
          <w:shd w:val="clear" w:fill="FFFFFF"/>
          <w:lang w:eastAsia="zh-CN"/>
        </w:rPr>
        <w:t>（</w:t>
      </w:r>
      <w:r>
        <w:rPr>
          <w:rFonts w:hint="eastAsia" w:ascii="仿宋_GB2312" w:hAnsi="宋体" w:cs="仿宋_GB2312"/>
          <w:i w:val="0"/>
          <w:iCs w:val="0"/>
          <w:caps w:val="0"/>
          <w:color w:val="000000"/>
          <w:spacing w:val="0"/>
          <w:sz w:val="31"/>
          <w:szCs w:val="31"/>
          <w:highlight w:val="none"/>
          <w:shd w:val="clear" w:fill="FFFFFF"/>
          <w:lang w:val="en-US" w:eastAsia="zh-CN"/>
        </w:rPr>
        <w:t>5</w:t>
      </w:r>
      <w:r>
        <w:rPr>
          <w:rFonts w:hint="eastAsia" w:ascii="仿宋_GB2312" w:hAnsi="宋体" w:cs="仿宋_GB2312"/>
          <w:i w:val="0"/>
          <w:iCs w:val="0"/>
          <w:caps w:val="0"/>
          <w:color w:val="000000"/>
          <w:spacing w:val="0"/>
          <w:sz w:val="31"/>
          <w:szCs w:val="31"/>
          <w:highlight w:val="none"/>
          <w:shd w:val="clear" w:fill="FFFFFF"/>
          <w:lang w:eastAsia="zh-CN"/>
        </w:rPr>
        <w:t>）机关事业单位职业年金缴费支出科目</w:t>
      </w:r>
      <w:r>
        <w:rPr>
          <w:rFonts w:hint="eastAsia" w:ascii="仿宋_GB2312" w:hAnsi="宋体" w:cs="仿宋_GB2312"/>
          <w:i w:val="0"/>
          <w:iCs w:val="0"/>
          <w:caps w:val="0"/>
          <w:color w:val="000000"/>
          <w:spacing w:val="0"/>
          <w:sz w:val="31"/>
          <w:szCs w:val="31"/>
          <w:highlight w:val="none"/>
          <w:shd w:val="clear" w:fill="FFFFFF"/>
          <w:lang w:val="en-US" w:eastAsia="zh-CN"/>
        </w:rPr>
        <w:t>82.74万元，占支出总预算3.7%，较上年增加18.45万元，同比增加28.7%。</w:t>
      </w:r>
      <w:r>
        <w:rPr>
          <w:rFonts w:ascii="仿宋_GB2312" w:hAnsi="宋体" w:eastAsia="仿宋_GB2312" w:cs="仿宋_GB2312"/>
          <w:i w:val="0"/>
          <w:iCs w:val="0"/>
          <w:caps w:val="0"/>
          <w:color w:val="000000"/>
          <w:spacing w:val="0"/>
          <w:sz w:val="31"/>
          <w:szCs w:val="31"/>
          <w:highlight w:val="none"/>
          <w:shd w:val="clear" w:fill="FFFFFF"/>
        </w:rPr>
        <w:t>主要原因是按照《关于进一步完善自治区以下法院检察院财物统一管理改革有关工作的通知》文件要求，将基层法院所有人员经费纳入</w:t>
      </w:r>
      <w:r>
        <w:rPr>
          <w:rFonts w:hint="eastAsia" w:ascii="仿宋_GB2312" w:hAnsi="宋体" w:cs="仿宋_GB2312"/>
          <w:i w:val="0"/>
          <w:iCs w:val="0"/>
          <w:caps w:val="0"/>
          <w:color w:val="000000"/>
          <w:spacing w:val="0"/>
          <w:sz w:val="31"/>
          <w:szCs w:val="31"/>
          <w:highlight w:val="none"/>
          <w:shd w:val="clear" w:fill="FFFFFF"/>
          <w:lang w:val="en-US" w:eastAsia="zh-CN"/>
        </w:rPr>
        <w:t>2024</w:t>
      </w:r>
      <w:r>
        <w:rPr>
          <w:rFonts w:hint="eastAsia" w:ascii="仿宋_GB2312" w:hAnsi="宋体" w:eastAsia="仿宋_GB2312" w:cs="仿宋_GB2312"/>
          <w:i w:val="0"/>
          <w:iCs w:val="0"/>
          <w:caps w:val="0"/>
          <w:color w:val="000000"/>
          <w:spacing w:val="0"/>
          <w:sz w:val="31"/>
          <w:szCs w:val="31"/>
          <w:highlight w:val="none"/>
          <w:shd w:val="clear" w:fill="FFFFFF"/>
        </w:rPr>
        <w:t>年预算，导致以此为计提基础的机关事业单位职业年金同步增长。</w:t>
      </w:r>
    </w:p>
    <w:p>
      <w:pPr>
        <w:tabs>
          <w:tab w:val="center" w:pos="4475"/>
        </w:tabs>
        <w:spacing w:line="560" w:lineRule="exact"/>
        <w:ind w:firstLine="645"/>
        <w:rPr>
          <w:rFonts w:hint="eastAsia" w:ascii="仿宋_GB2312" w:hAnsi="宋体" w:eastAsia="仿宋_GB2312" w:cs="仿宋_GB2312"/>
          <w:i w:val="0"/>
          <w:iCs w:val="0"/>
          <w:caps w:val="0"/>
          <w:color w:val="000000"/>
          <w:spacing w:val="0"/>
          <w:sz w:val="31"/>
          <w:szCs w:val="31"/>
          <w:highlight w:val="none"/>
          <w:shd w:val="clear" w:fill="FFFFFF"/>
        </w:rPr>
      </w:pPr>
      <w:r>
        <w:rPr>
          <w:rFonts w:hint="eastAsia" w:ascii="仿宋_GB2312" w:hAnsi="宋体" w:cs="仿宋_GB2312"/>
          <w:i w:val="0"/>
          <w:iCs w:val="0"/>
          <w:caps w:val="0"/>
          <w:color w:val="000000"/>
          <w:spacing w:val="0"/>
          <w:sz w:val="31"/>
          <w:szCs w:val="31"/>
          <w:highlight w:val="none"/>
          <w:shd w:val="clear" w:fill="FFFFFF"/>
          <w:lang w:eastAsia="zh-CN"/>
        </w:rPr>
        <w:t>（</w:t>
      </w:r>
      <w:r>
        <w:rPr>
          <w:rFonts w:hint="eastAsia" w:ascii="仿宋_GB2312" w:hAnsi="宋体" w:cs="仿宋_GB2312"/>
          <w:i w:val="0"/>
          <w:iCs w:val="0"/>
          <w:caps w:val="0"/>
          <w:color w:val="000000"/>
          <w:spacing w:val="0"/>
          <w:sz w:val="31"/>
          <w:szCs w:val="31"/>
          <w:highlight w:val="none"/>
          <w:shd w:val="clear" w:fill="FFFFFF"/>
          <w:lang w:val="en-US" w:eastAsia="zh-CN"/>
        </w:rPr>
        <w:t>6</w:t>
      </w:r>
      <w:r>
        <w:rPr>
          <w:rFonts w:hint="eastAsia" w:ascii="仿宋_GB2312" w:hAnsi="宋体" w:cs="仿宋_GB2312"/>
          <w:i w:val="0"/>
          <w:iCs w:val="0"/>
          <w:caps w:val="0"/>
          <w:color w:val="000000"/>
          <w:spacing w:val="0"/>
          <w:sz w:val="31"/>
          <w:szCs w:val="31"/>
          <w:highlight w:val="none"/>
          <w:shd w:val="clear" w:fill="FFFFFF"/>
          <w:lang w:eastAsia="zh-CN"/>
        </w:rPr>
        <w:t>）行政单位医疗科目</w:t>
      </w:r>
      <w:r>
        <w:rPr>
          <w:rFonts w:hint="eastAsia" w:ascii="仿宋_GB2312" w:hAnsi="宋体" w:cs="仿宋_GB2312"/>
          <w:i w:val="0"/>
          <w:iCs w:val="0"/>
          <w:caps w:val="0"/>
          <w:color w:val="000000"/>
          <w:spacing w:val="0"/>
          <w:sz w:val="31"/>
          <w:szCs w:val="31"/>
          <w:highlight w:val="none"/>
          <w:shd w:val="clear" w:fill="FFFFFF"/>
          <w:lang w:val="en-US" w:eastAsia="zh-CN"/>
        </w:rPr>
        <w:t>95.16万元，占支出总预算4.3%，较上年增加21.23万元，同比增加28.72%。</w:t>
      </w:r>
      <w:r>
        <w:rPr>
          <w:rFonts w:ascii="仿宋_GB2312" w:hAnsi="宋体" w:eastAsia="仿宋_GB2312" w:cs="仿宋_GB2312"/>
          <w:i w:val="0"/>
          <w:iCs w:val="0"/>
          <w:caps w:val="0"/>
          <w:color w:val="000000"/>
          <w:spacing w:val="0"/>
          <w:sz w:val="31"/>
          <w:szCs w:val="31"/>
          <w:highlight w:val="none"/>
          <w:shd w:val="clear" w:fill="FFFFFF"/>
        </w:rPr>
        <w:t>主要原因是按照《关于进一步完善自治区以下法院检察院财物统一管理改革有关工作的通知》文件要求，将基层法院所有人员经费纳入</w:t>
      </w:r>
      <w:r>
        <w:rPr>
          <w:rFonts w:hint="eastAsia" w:ascii="仿宋_GB2312" w:hAnsi="宋体" w:cs="仿宋_GB2312"/>
          <w:i w:val="0"/>
          <w:iCs w:val="0"/>
          <w:caps w:val="0"/>
          <w:color w:val="000000"/>
          <w:spacing w:val="0"/>
          <w:sz w:val="31"/>
          <w:szCs w:val="31"/>
          <w:highlight w:val="none"/>
          <w:shd w:val="clear" w:fill="FFFFFF"/>
          <w:lang w:val="en-US" w:eastAsia="zh-CN"/>
        </w:rPr>
        <w:t>2024</w:t>
      </w:r>
      <w:r>
        <w:rPr>
          <w:rFonts w:hint="eastAsia" w:ascii="仿宋_GB2312" w:hAnsi="宋体" w:eastAsia="仿宋_GB2312" w:cs="仿宋_GB2312"/>
          <w:i w:val="0"/>
          <w:iCs w:val="0"/>
          <w:caps w:val="0"/>
          <w:color w:val="000000"/>
          <w:spacing w:val="0"/>
          <w:sz w:val="31"/>
          <w:szCs w:val="31"/>
          <w:highlight w:val="none"/>
          <w:shd w:val="clear" w:fill="FFFFFF"/>
        </w:rPr>
        <w:t>年预算，导致以此为计提基础的行政单位医疗同步增长。</w:t>
      </w:r>
    </w:p>
    <w:p>
      <w:pPr>
        <w:tabs>
          <w:tab w:val="center" w:pos="4475"/>
        </w:tabs>
        <w:spacing w:line="560" w:lineRule="exact"/>
        <w:ind w:firstLine="645"/>
        <w:rPr>
          <w:rFonts w:hint="eastAsia" w:ascii="仿宋_GB2312" w:hAnsi="宋体" w:eastAsia="仿宋_GB2312" w:cs="仿宋_GB2312"/>
          <w:i w:val="0"/>
          <w:iCs w:val="0"/>
          <w:caps w:val="0"/>
          <w:color w:val="000000"/>
          <w:spacing w:val="0"/>
          <w:sz w:val="31"/>
          <w:szCs w:val="31"/>
          <w:highlight w:val="none"/>
          <w:shd w:val="clear" w:fill="FFFFFF"/>
        </w:rPr>
      </w:pPr>
      <w:r>
        <w:rPr>
          <w:rFonts w:hint="eastAsia" w:ascii="仿宋_GB2312" w:hAnsi="宋体" w:cs="仿宋_GB2312"/>
          <w:i w:val="0"/>
          <w:iCs w:val="0"/>
          <w:caps w:val="0"/>
          <w:color w:val="000000"/>
          <w:spacing w:val="0"/>
          <w:sz w:val="31"/>
          <w:szCs w:val="31"/>
          <w:highlight w:val="none"/>
          <w:shd w:val="clear" w:fill="FFFFFF"/>
          <w:lang w:eastAsia="zh-CN"/>
        </w:rPr>
        <w:t>（</w:t>
      </w:r>
      <w:r>
        <w:rPr>
          <w:rFonts w:hint="eastAsia" w:ascii="仿宋_GB2312" w:hAnsi="宋体" w:cs="仿宋_GB2312"/>
          <w:i w:val="0"/>
          <w:iCs w:val="0"/>
          <w:caps w:val="0"/>
          <w:color w:val="000000"/>
          <w:spacing w:val="0"/>
          <w:sz w:val="31"/>
          <w:szCs w:val="31"/>
          <w:highlight w:val="none"/>
          <w:shd w:val="clear" w:fill="FFFFFF"/>
          <w:lang w:val="en-US" w:eastAsia="zh-CN"/>
        </w:rPr>
        <w:t>7</w:t>
      </w:r>
      <w:r>
        <w:rPr>
          <w:rFonts w:hint="eastAsia" w:ascii="仿宋_GB2312" w:hAnsi="宋体" w:cs="仿宋_GB2312"/>
          <w:i w:val="0"/>
          <w:iCs w:val="0"/>
          <w:caps w:val="0"/>
          <w:color w:val="000000"/>
          <w:spacing w:val="0"/>
          <w:sz w:val="31"/>
          <w:szCs w:val="31"/>
          <w:highlight w:val="none"/>
          <w:shd w:val="clear" w:fill="FFFFFF"/>
          <w:lang w:eastAsia="zh-CN"/>
        </w:rPr>
        <w:t>）公务员医疗补助科目</w:t>
      </w:r>
      <w:r>
        <w:rPr>
          <w:rFonts w:hint="eastAsia" w:ascii="仿宋_GB2312" w:hAnsi="宋体" w:cs="仿宋_GB2312"/>
          <w:i w:val="0"/>
          <w:iCs w:val="0"/>
          <w:caps w:val="0"/>
          <w:color w:val="000000"/>
          <w:spacing w:val="0"/>
          <w:sz w:val="31"/>
          <w:szCs w:val="31"/>
          <w:highlight w:val="none"/>
          <w:shd w:val="clear" w:fill="FFFFFF"/>
          <w:lang w:val="en-US" w:eastAsia="zh-CN"/>
        </w:rPr>
        <w:t>66.2万元，占支出总预算3%，较上年增加12.54万元，同比增加23.37%。</w:t>
      </w:r>
      <w:r>
        <w:rPr>
          <w:rFonts w:ascii="仿宋_GB2312" w:hAnsi="宋体" w:eastAsia="仿宋_GB2312" w:cs="仿宋_GB2312"/>
          <w:i w:val="0"/>
          <w:iCs w:val="0"/>
          <w:caps w:val="0"/>
          <w:color w:val="000000"/>
          <w:spacing w:val="0"/>
          <w:sz w:val="31"/>
          <w:szCs w:val="31"/>
          <w:highlight w:val="none"/>
          <w:shd w:val="clear" w:fill="FFFFFF"/>
        </w:rPr>
        <w:t>主要原因是按照《关于进一步完善自治区以下法院检察院财物统一管理改革有关工作的通知》文件要求，将基层法院所有人员经费纳入</w:t>
      </w:r>
      <w:r>
        <w:rPr>
          <w:rFonts w:hint="eastAsia" w:ascii="仿宋_GB2312" w:hAnsi="宋体" w:cs="仿宋_GB2312"/>
          <w:i w:val="0"/>
          <w:iCs w:val="0"/>
          <w:caps w:val="0"/>
          <w:color w:val="000000"/>
          <w:spacing w:val="0"/>
          <w:sz w:val="31"/>
          <w:szCs w:val="31"/>
          <w:highlight w:val="none"/>
          <w:shd w:val="clear" w:fill="FFFFFF"/>
          <w:lang w:val="en-US" w:eastAsia="zh-CN"/>
        </w:rPr>
        <w:t>2024</w:t>
      </w:r>
      <w:r>
        <w:rPr>
          <w:rFonts w:hint="eastAsia" w:ascii="仿宋_GB2312" w:hAnsi="宋体" w:eastAsia="仿宋_GB2312" w:cs="仿宋_GB2312"/>
          <w:i w:val="0"/>
          <w:iCs w:val="0"/>
          <w:caps w:val="0"/>
          <w:color w:val="000000"/>
          <w:spacing w:val="0"/>
          <w:sz w:val="31"/>
          <w:szCs w:val="31"/>
          <w:highlight w:val="none"/>
          <w:shd w:val="clear" w:fill="FFFFFF"/>
        </w:rPr>
        <w:t>年预算，导致以此为计提基础的公务员医疗补助同步增长。</w:t>
      </w:r>
    </w:p>
    <w:p>
      <w:pPr>
        <w:tabs>
          <w:tab w:val="center" w:pos="4475"/>
        </w:tabs>
        <w:spacing w:line="560" w:lineRule="exact"/>
        <w:ind w:firstLine="645"/>
        <w:rPr>
          <w:rFonts w:hint="eastAsia" w:ascii="仿宋_GB2312" w:hAnsi="宋体" w:cs="仿宋_GB2312"/>
          <w:i w:val="0"/>
          <w:iCs w:val="0"/>
          <w:caps w:val="0"/>
          <w:color w:val="000000"/>
          <w:spacing w:val="0"/>
          <w:sz w:val="31"/>
          <w:szCs w:val="31"/>
          <w:highlight w:val="none"/>
          <w:shd w:val="clear" w:fill="FFFFFF"/>
          <w:lang w:val="en-US" w:eastAsia="zh-CN"/>
        </w:rPr>
      </w:pPr>
      <w:r>
        <w:rPr>
          <w:rFonts w:hint="eastAsia" w:ascii="仿宋_GB2312" w:hAnsi="宋体" w:cs="仿宋_GB2312"/>
          <w:i w:val="0"/>
          <w:iCs w:val="0"/>
          <w:caps w:val="0"/>
          <w:color w:val="000000"/>
          <w:spacing w:val="0"/>
          <w:sz w:val="31"/>
          <w:szCs w:val="31"/>
          <w:highlight w:val="none"/>
          <w:shd w:val="clear" w:fill="FFFFFF"/>
          <w:lang w:eastAsia="zh-CN"/>
        </w:rPr>
        <w:t>（</w:t>
      </w:r>
      <w:r>
        <w:rPr>
          <w:rFonts w:hint="eastAsia" w:ascii="仿宋_GB2312" w:hAnsi="宋体" w:cs="仿宋_GB2312"/>
          <w:i w:val="0"/>
          <w:iCs w:val="0"/>
          <w:caps w:val="0"/>
          <w:color w:val="000000"/>
          <w:spacing w:val="0"/>
          <w:sz w:val="31"/>
          <w:szCs w:val="31"/>
          <w:highlight w:val="none"/>
          <w:shd w:val="clear" w:fill="FFFFFF"/>
          <w:lang w:val="en-US" w:eastAsia="zh-CN"/>
        </w:rPr>
        <w:t>8</w:t>
      </w:r>
      <w:r>
        <w:rPr>
          <w:rFonts w:hint="eastAsia" w:ascii="仿宋_GB2312" w:hAnsi="宋体" w:cs="仿宋_GB2312"/>
          <w:i w:val="0"/>
          <w:iCs w:val="0"/>
          <w:caps w:val="0"/>
          <w:color w:val="000000"/>
          <w:spacing w:val="0"/>
          <w:sz w:val="31"/>
          <w:szCs w:val="31"/>
          <w:highlight w:val="none"/>
          <w:shd w:val="clear" w:fill="FFFFFF"/>
          <w:lang w:eastAsia="zh-CN"/>
        </w:rPr>
        <w:t>）其他巩固脱贫攻坚成果衔接乡村振兴支出科目</w:t>
      </w:r>
      <w:r>
        <w:rPr>
          <w:rFonts w:hint="eastAsia" w:ascii="仿宋_GB2312" w:hAnsi="宋体" w:cs="仿宋_GB2312"/>
          <w:i w:val="0"/>
          <w:iCs w:val="0"/>
          <w:caps w:val="0"/>
          <w:color w:val="000000"/>
          <w:spacing w:val="0"/>
          <w:sz w:val="31"/>
          <w:szCs w:val="31"/>
          <w:highlight w:val="none"/>
          <w:shd w:val="clear" w:fill="FFFFFF"/>
          <w:lang w:val="en-US" w:eastAsia="zh-CN"/>
        </w:rPr>
        <w:t>1.5万元，占支出总预算0.07%，与上年持平。</w:t>
      </w:r>
    </w:p>
    <w:p>
      <w:pPr>
        <w:tabs>
          <w:tab w:val="center" w:pos="4475"/>
        </w:tabs>
        <w:spacing w:line="560" w:lineRule="exact"/>
        <w:ind w:firstLine="645"/>
        <w:rPr>
          <w:rFonts w:hint="eastAsia" w:ascii="仿宋_GB2312" w:hAnsi="宋体" w:eastAsia="仿宋_GB2312" w:cs="仿宋_GB2312"/>
          <w:i w:val="0"/>
          <w:iCs w:val="0"/>
          <w:caps w:val="0"/>
          <w:color w:val="000000"/>
          <w:spacing w:val="0"/>
          <w:sz w:val="31"/>
          <w:szCs w:val="31"/>
          <w:highlight w:val="none"/>
          <w:shd w:val="clear" w:fill="FFFFFF"/>
        </w:rPr>
      </w:pPr>
      <w:r>
        <w:rPr>
          <w:rFonts w:hint="eastAsia" w:ascii="仿宋_GB2312" w:hAnsi="宋体" w:cs="仿宋_GB2312"/>
          <w:i w:val="0"/>
          <w:iCs w:val="0"/>
          <w:caps w:val="0"/>
          <w:color w:val="000000"/>
          <w:spacing w:val="0"/>
          <w:sz w:val="31"/>
          <w:szCs w:val="31"/>
          <w:highlight w:val="none"/>
          <w:shd w:val="clear" w:fill="FFFFFF"/>
          <w:lang w:val="en-US" w:eastAsia="zh-CN"/>
        </w:rPr>
        <w:t>（9）住房公积金科目124.12万元，占支出总预算5.61%，较上年增加27.69万元，同比增加28.72%。</w:t>
      </w:r>
      <w:r>
        <w:rPr>
          <w:rFonts w:ascii="仿宋_GB2312" w:hAnsi="宋体" w:eastAsia="仿宋_GB2312" w:cs="仿宋_GB2312"/>
          <w:i w:val="0"/>
          <w:iCs w:val="0"/>
          <w:caps w:val="0"/>
          <w:color w:val="000000"/>
          <w:spacing w:val="0"/>
          <w:sz w:val="31"/>
          <w:szCs w:val="31"/>
          <w:highlight w:val="none"/>
          <w:shd w:val="clear" w:fill="FFFFFF"/>
        </w:rPr>
        <w:t>主要原因是按照《关于进一步完善自治区以下法院检察院财物统一管理改革有关工作的通知》文件要求，将基层法院所有人员经费纳入</w:t>
      </w:r>
      <w:r>
        <w:rPr>
          <w:rFonts w:hint="eastAsia" w:ascii="仿宋_GB2312" w:hAnsi="宋体" w:cs="仿宋_GB2312"/>
          <w:i w:val="0"/>
          <w:iCs w:val="0"/>
          <w:caps w:val="0"/>
          <w:color w:val="000000"/>
          <w:spacing w:val="0"/>
          <w:sz w:val="31"/>
          <w:szCs w:val="31"/>
          <w:highlight w:val="none"/>
          <w:shd w:val="clear" w:fill="FFFFFF"/>
          <w:lang w:val="en-US" w:eastAsia="zh-CN"/>
        </w:rPr>
        <w:t>2024</w:t>
      </w:r>
      <w:r>
        <w:rPr>
          <w:rFonts w:hint="eastAsia" w:ascii="仿宋_GB2312" w:hAnsi="宋体" w:eastAsia="仿宋_GB2312" w:cs="仿宋_GB2312"/>
          <w:i w:val="0"/>
          <w:iCs w:val="0"/>
          <w:caps w:val="0"/>
          <w:color w:val="000000"/>
          <w:spacing w:val="0"/>
          <w:sz w:val="31"/>
          <w:szCs w:val="31"/>
          <w:highlight w:val="none"/>
          <w:shd w:val="clear" w:fill="FFFFFF"/>
        </w:rPr>
        <w:t>年预算，导致以此为计提基础的住房公积金同步增长。</w:t>
      </w:r>
    </w:p>
    <w:p>
      <w:pPr>
        <w:tabs>
          <w:tab w:val="center" w:pos="4475"/>
        </w:tabs>
        <w:spacing w:line="560" w:lineRule="exact"/>
        <w:ind w:firstLine="645"/>
        <w:rPr>
          <w:rFonts w:ascii="黑体" w:eastAsia="黑体"/>
          <w:szCs w:val="32"/>
          <w:highlight w:val="none"/>
        </w:rPr>
      </w:pPr>
      <w:r>
        <w:rPr>
          <w:rFonts w:hint="eastAsia" w:ascii="黑体" w:eastAsia="黑体"/>
          <w:szCs w:val="32"/>
          <w:highlight w:val="none"/>
        </w:rPr>
        <w:t>六、一般公共预算基本支出情况说明</w:t>
      </w:r>
    </w:p>
    <w:p>
      <w:pPr>
        <w:tabs>
          <w:tab w:val="center" w:pos="4475"/>
        </w:tabs>
        <w:spacing w:line="560" w:lineRule="exact"/>
        <w:ind w:firstLine="645"/>
        <w:rPr>
          <w:rFonts w:hint="eastAsia" w:ascii="仿宋_GB2312"/>
          <w:szCs w:val="32"/>
          <w:highlight w:val="none"/>
        </w:rPr>
      </w:pPr>
      <w:r>
        <w:rPr>
          <w:rFonts w:hint="eastAsia" w:ascii="仿宋_GB2312"/>
          <w:szCs w:val="32"/>
          <w:highlight w:val="none"/>
          <w:lang w:eastAsia="zh-CN"/>
        </w:rPr>
        <w:t>兴安县人民法院</w:t>
      </w:r>
      <w:r>
        <w:rPr>
          <w:rFonts w:hint="eastAsia" w:ascii="仿宋_GB2312"/>
          <w:szCs w:val="32"/>
          <w:highlight w:val="none"/>
        </w:rPr>
        <w:t>一般公共预算基本支出共</w:t>
      </w:r>
      <w:r>
        <w:rPr>
          <w:rFonts w:hint="eastAsia" w:ascii="仿宋_GB2312"/>
          <w:szCs w:val="32"/>
          <w:highlight w:val="none"/>
          <w:lang w:val="en-US" w:eastAsia="zh-CN"/>
        </w:rPr>
        <w:t>2100.48</w:t>
      </w:r>
      <w:r>
        <w:rPr>
          <w:rFonts w:hint="eastAsia" w:ascii="仿宋_GB2312"/>
          <w:szCs w:val="32"/>
          <w:highlight w:val="none"/>
        </w:rPr>
        <w:t>万元，</w:t>
      </w:r>
      <w:r>
        <w:rPr>
          <w:rFonts w:hint="eastAsia" w:ascii="仿宋_GB2312"/>
          <w:szCs w:val="32"/>
          <w:highlight w:val="none"/>
          <w:lang w:eastAsia="zh-CN"/>
        </w:rPr>
        <w:t>占支出总预算</w:t>
      </w:r>
      <w:r>
        <w:rPr>
          <w:rFonts w:hint="eastAsia" w:ascii="仿宋_GB2312"/>
          <w:szCs w:val="32"/>
          <w:highlight w:val="none"/>
          <w:lang w:val="en-US" w:eastAsia="zh-CN"/>
        </w:rPr>
        <w:t>94.96%，</w:t>
      </w:r>
      <w:r>
        <w:rPr>
          <w:rFonts w:hint="eastAsia" w:ascii="仿宋_GB2312"/>
          <w:szCs w:val="32"/>
          <w:highlight w:val="none"/>
        </w:rPr>
        <w:t>较</w:t>
      </w:r>
      <w:r>
        <w:rPr>
          <w:rFonts w:hint="eastAsia" w:ascii="仿宋_GB2312"/>
          <w:szCs w:val="32"/>
          <w:highlight w:val="none"/>
          <w:lang w:val="en-US" w:eastAsia="zh-CN"/>
        </w:rPr>
        <w:t>2023年增加359.78万元，同比</w:t>
      </w:r>
      <w:r>
        <w:rPr>
          <w:rFonts w:hint="eastAsia" w:ascii="仿宋_GB2312"/>
          <w:szCs w:val="32"/>
          <w:highlight w:val="none"/>
        </w:rPr>
        <w:t>增长</w:t>
      </w:r>
      <w:r>
        <w:rPr>
          <w:rFonts w:hint="eastAsia" w:ascii="仿宋_GB2312"/>
          <w:szCs w:val="32"/>
          <w:highlight w:val="none"/>
          <w:lang w:val="en-US" w:eastAsia="zh-CN"/>
        </w:rPr>
        <w:t>20.67</w:t>
      </w:r>
      <w:r>
        <w:rPr>
          <w:rFonts w:hint="eastAsia" w:ascii="仿宋_GB2312"/>
          <w:szCs w:val="32"/>
          <w:highlight w:val="none"/>
        </w:rPr>
        <w:t>%</w:t>
      </w:r>
      <w:r>
        <w:rPr>
          <w:rFonts w:hint="eastAsia" w:ascii="仿宋_GB2312"/>
          <w:szCs w:val="32"/>
          <w:highlight w:val="none"/>
          <w:lang w:eastAsia="zh-CN"/>
        </w:rPr>
        <w:t>，</w:t>
      </w:r>
      <w:r>
        <w:rPr>
          <w:rFonts w:hint="eastAsia" w:ascii="仿宋_GB2312"/>
          <w:szCs w:val="32"/>
          <w:highlight w:val="none"/>
        </w:rPr>
        <w:t>主要原因是</w:t>
      </w:r>
      <w:r>
        <w:rPr>
          <w:rFonts w:hint="eastAsia" w:ascii="仿宋_GB2312"/>
          <w:szCs w:val="32"/>
          <w:highlight w:val="none"/>
          <w:lang w:eastAsia="zh-CN"/>
        </w:rPr>
        <w:t>人员经费增长</w:t>
      </w:r>
      <w:r>
        <w:rPr>
          <w:rFonts w:hint="eastAsia" w:ascii="仿宋_GB2312"/>
          <w:szCs w:val="32"/>
          <w:highlight w:val="none"/>
        </w:rPr>
        <w:t>。具体情况为：</w:t>
      </w:r>
    </w:p>
    <w:p>
      <w:pPr>
        <w:autoSpaceDE w:val="0"/>
        <w:autoSpaceDN w:val="0"/>
        <w:adjustRightInd w:val="0"/>
        <w:spacing w:beforeAutospacing="0" w:afterAutospacing="0" w:line="586" w:lineRule="exact"/>
        <w:ind w:firstLine="615"/>
        <w:rPr>
          <w:rFonts w:hint="eastAsia" w:ascii="仿宋_GB2312" w:hAnsi="仿宋_GB2312" w:cs="仿宋_GB2312"/>
          <w:sz w:val="32"/>
          <w:szCs w:val="32"/>
          <w:highlight w:val="none"/>
          <w:lang w:eastAsia="zh-CN"/>
        </w:rPr>
      </w:pPr>
      <w:r>
        <w:rPr>
          <w:rFonts w:hint="eastAsia" w:ascii="仿宋_GB2312"/>
          <w:szCs w:val="32"/>
          <w:highlight w:val="none"/>
          <w:lang w:eastAsia="zh-CN"/>
        </w:rPr>
        <w:t>工资福利支出</w:t>
      </w:r>
      <w:r>
        <w:rPr>
          <w:rFonts w:hint="eastAsia" w:ascii="仿宋_GB2312"/>
          <w:szCs w:val="32"/>
          <w:highlight w:val="none"/>
          <w:lang w:val="en-US" w:eastAsia="zh-CN"/>
        </w:rPr>
        <w:t>1830.82万元，较2023年增加346.82万元，同比增加23.37%。其中包括：</w:t>
      </w:r>
      <w:r>
        <w:rPr>
          <w:rFonts w:hint="eastAsia" w:ascii="仿宋_GB2312" w:hAnsi="仿宋_GB2312" w:eastAsia="仿宋_GB2312" w:cs="仿宋_GB2312"/>
          <w:sz w:val="32"/>
          <w:szCs w:val="32"/>
          <w:highlight w:val="none"/>
        </w:rPr>
        <w:t>基本工资、津贴补贴、奖金、绩效工资、</w:t>
      </w:r>
      <w:r>
        <w:rPr>
          <w:rFonts w:hint="eastAsia" w:ascii="仿宋_GB2312" w:hAnsi="仿宋_GB2312" w:eastAsia="仿宋_GB2312" w:cs="仿宋_GB2312"/>
          <w:sz w:val="32"/>
          <w:szCs w:val="32"/>
          <w:highlight w:val="none"/>
          <w:lang w:eastAsia="zh-CN"/>
        </w:rPr>
        <w:t>机关事业单位</w:t>
      </w:r>
      <w:r>
        <w:rPr>
          <w:rFonts w:hint="eastAsia" w:ascii="仿宋_GB2312" w:hAnsi="仿宋_GB2312" w:eastAsia="仿宋_GB2312" w:cs="仿宋_GB2312"/>
          <w:sz w:val="32"/>
          <w:szCs w:val="32"/>
          <w:highlight w:val="none"/>
        </w:rPr>
        <w:t>基本养老保险缴费、职业年金缴费、</w:t>
      </w:r>
      <w:r>
        <w:rPr>
          <w:rFonts w:hint="eastAsia" w:ascii="仿宋_GB2312" w:hAnsi="仿宋_GB2312" w:eastAsia="仿宋_GB2312" w:cs="仿宋_GB2312"/>
          <w:sz w:val="32"/>
          <w:szCs w:val="32"/>
          <w:highlight w:val="none"/>
          <w:lang w:eastAsia="zh-CN"/>
        </w:rPr>
        <w:t>职工</w:t>
      </w:r>
      <w:r>
        <w:rPr>
          <w:rFonts w:hint="eastAsia" w:ascii="仿宋_GB2312" w:hAnsi="仿宋_GB2312" w:eastAsia="仿宋_GB2312" w:cs="仿宋_GB2312"/>
          <w:sz w:val="32"/>
          <w:szCs w:val="32"/>
          <w:highlight w:val="none"/>
        </w:rPr>
        <w:t>基本医疗保险缴费、</w:t>
      </w:r>
      <w:r>
        <w:rPr>
          <w:rFonts w:hint="eastAsia" w:ascii="仿宋_GB2312" w:hAnsi="仿宋_GB2312" w:eastAsia="仿宋_GB2312" w:cs="仿宋_GB2312"/>
          <w:sz w:val="32"/>
          <w:szCs w:val="32"/>
          <w:highlight w:val="none"/>
          <w:lang w:eastAsia="zh-CN"/>
        </w:rPr>
        <w:t>公务员医疗补助缴费、</w:t>
      </w:r>
      <w:r>
        <w:rPr>
          <w:rFonts w:hint="eastAsia" w:ascii="仿宋_GB2312" w:hAnsi="仿宋_GB2312" w:eastAsia="仿宋_GB2312" w:cs="仿宋_GB2312"/>
          <w:sz w:val="32"/>
          <w:szCs w:val="32"/>
          <w:highlight w:val="none"/>
        </w:rPr>
        <w:t>其他社会保障缴费、住房公积金、</w:t>
      </w:r>
      <w:r>
        <w:rPr>
          <w:rFonts w:hint="eastAsia" w:ascii="仿宋_GB2312" w:hAnsi="仿宋_GB2312" w:eastAsia="仿宋_GB2312" w:cs="仿宋_GB2312"/>
          <w:sz w:val="32"/>
          <w:szCs w:val="32"/>
          <w:highlight w:val="none"/>
          <w:lang w:eastAsia="zh-CN"/>
        </w:rPr>
        <w:t>其他工资福利支出</w:t>
      </w:r>
      <w:r>
        <w:rPr>
          <w:rFonts w:hint="eastAsia" w:ascii="仿宋_GB2312" w:hAnsi="仿宋_GB2312" w:cs="仿宋_GB2312"/>
          <w:sz w:val="32"/>
          <w:szCs w:val="32"/>
          <w:highlight w:val="none"/>
          <w:lang w:eastAsia="zh-CN"/>
        </w:rPr>
        <w:t>。</w:t>
      </w:r>
    </w:p>
    <w:p>
      <w:pPr>
        <w:autoSpaceDE w:val="0"/>
        <w:autoSpaceDN w:val="0"/>
        <w:adjustRightInd w:val="0"/>
        <w:spacing w:beforeAutospacing="0" w:afterAutospacing="0" w:line="586" w:lineRule="exact"/>
        <w:ind w:firstLine="615"/>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对个人和家庭的补助支出65.38万元，较2023年增加22.64万元，同比增加52.97%。其中包括：退休费、生活补助、医疗费补助。</w:t>
      </w:r>
    </w:p>
    <w:p>
      <w:pPr>
        <w:autoSpaceDE w:val="0"/>
        <w:autoSpaceDN w:val="0"/>
        <w:adjustRightInd w:val="0"/>
        <w:spacing w:beforeAutospacing="0" w:afterAutospacing="0" w:line="586" w:lineRule="exact"/>
        <w:ind w:firstLine="615"/>
        <w:rPr>
          <w:rFonts w:hint="default" w:ascii="仿宋_GB2312" w:hAnsi="Times New Roman" w:eastAsia="仿宋_GB2312" w:cs="Times New Roman"/>
          <w:kern w:val="2"/>
          <w:sz w:val="32"/>
          <w:szCs w:val="32"/>
          <w:highlight w:val="none"/>
          <w:lang w:val="en-US" w:eastAsia="zh-CN" w:bidi="ar-SA"/>
        </w:rPr>
      </w:pPr>
      <w:r>
        <w:rPr>
          <w:rFonts w:hint="eastAsia" w:ascii="仿宋_GB2312" w:hAnsi="Times New Roman" w:eastAsia="仿宋_GB2312" w:cs="Times New Roman"/>
          <w:kern w:val="2"/>
          <w:sz w:val="32"/>
          <w:szCs w:val="32"/>
          <w:highlight w:val="none"/>
          <w:lang w:val="en-US" w:eastAsia="zh-CN" w:bidi="ar-SA"/>
        </w:rPr>
        <w:t>公用经费支出204.28万元，较</w:t>
      </w:r>
      <w:r>
        <w:rPr>
          <w:rFonts w:hint="eastAsia" w:ascii="仿宋_GB2312" w:hAnsi="Times New Roman" w:cs="Times New Roman"/>
          <w:kern w:val="2"/>
          <w:sz w:val="32"/>
          <w:szCs w:val="32"/>
          <w:highlight w:val="none"/>
          <w:lang w:val="en-US" w:eastAsia="zh-CN" w:bidi="ar-SA"/>
        </w:rPr>
        <w:t>2023年</w:t>
      </w:r>
      <w:r>
        <w:rPr>
          <w:rFonts w:hint="eastAsia" w:ascii="仿宋_GB2312" w:hAnsi="Times New Roman" w:eastAsia="仿宋_GB2312" w:cs="Times New Roman"/>
          <w:kern w:val="2"/>
          <w:sz w:val="32"/>
          <w:szCs w:val="32"/>
          <w:highlight w:val="none"/>
          <w:lang w:val="en-US" w:eastAsia="zh-CN" w:bidi="ar-SA"/>
        </w:rPr>
        <w:t>减少</w:t>
      </w:r>
      <w:r>
        <w:rPr>
          <w:rFonts w:hint="eastAsia" w:ascii="仿宋_GB2312" w:hAnsi="Times New Roman" w:cs="Times New Roman"/>
          <w:kern w:val="2"/>
          <w:sz w:val="32"/>
          <w:szCs w:val="32"/>
          <w:highlight w:val="none"/>
          <w:lang w:val="en-US" w:eastAsia="zh-CN" w:bidi="ar-SA"/>
        </w:rPr>
        <w:t>9.67万元，同比</w:t>
      </w:r>
      <w:r>
        <w:rPr>
          <w:rFonts w:hint="eastAsia" w:ascii="仿宋_GB2312" w:hAnsi="Times New Roman" w:eastAsia="仿宋_GB2312" w:cs="Times New Roman"/>
          <w:kern w:val="2"/>
          <w:sz w:val="32"/>
          <w:szCs w:val="32"/>
          <w:highlight w:val="none"/>
          <w:lang w:val="en-US" w:eastAsia="zh-CN" w:bidi="ar-SA"/>
        </w:rPr>
        <w:t>4.52%。其中</w:t>
      </w:r>
      <w:r>
        <w:rPr>
          <w:rFonts w:hint="eastAsia" w:ascii="仿宋_GB2312" w:hAnsi="Times New Roman" w:cs="Times New Roman"/>
          <w:kern w:val="2"/>
          <w:sz w:val="32"/>
          <w:szCs w:val="32"/>
          <w:highlight w:val="none"/>
          <w:lang w:val="en-US" w:eastAsia="zh-CN" w:bidi="ar-SA"/>
        </w:rPr>
        <w:t>包括：办公费、印刷费、水费、电费、邮电费、差旅费、维修（护）费、会议费、培训费、公务接待费、工会经费、福利费、公务用车运行维护费、其他交通费用、其他商品和服务支出。</w:t>
      </w:r>
    </w:p>
    <w:p>
      <w:pPr>
        <w:tabs>
          <w:tab w:val="center" w:pos="4475"/>
        </w:tabs>
        <w:spacing w:line="560" w:lineRule="exact"/>
        <w:ind w:firstLine="645"/>
        <w:rPr>
          <w:rFonts w:ascii="黑体" w:eastAsia="黑体"/>
          <w:szCs w:val="32"/>
          <w:highlight w:val="none"/>
        </w:rPr>
      </w:pPr>
      <w:r>
        <w:rPr>
          <w:rFonts w:hint="eastAsia" w:ascii="黑体" w:eastAsia="黑体"/>
          <w:szCs w:val="32"/>
          <w:highlight w:val="none"/>
        </w:rPr>
        <w:t>七、一般公共预算“三公”经费支出情况说明</w:t>
      </w:r>
    </w:p>
    <w:p>
      <w:pPr>
        <w:tabs>
          <w:tab w:val="center" w:pos="4475"/>
        </w:tabs>
        <w:spacing w:line="560" w:lineRule="exact"/>
        <w:ind w:firstLine="645"/>
        <w:rPr>
          <w:rFonts w:hint="eastAsia" w:ascii="仿宋_GB2312"/>
          <w:bCs/>
          <w:highlight w:val="none"/>
        </w:rPr>
      </w:pPr>
      <w:r>
        <w:rPr>
          <w:rFonts w:hint="eastAsia" w:ascii="仿宋_GB2312" w:hAnsi="宋体"/>
          <w:szCs w:val="32"/>
          <w:highlight w:val="none"/>
          <w:lang w:eastAsia="zh-CN"/>
        </w:rPr>
        <w:t>我部门</w:t>
      </w:r>
      <w:r>
        <w:rPr>
          <w:rFonts w:hint="eastAsia" w:ascii="仿宋_GB2312"/>
          <w:highlight w:val="none"/>
        </w:rPr>
        <w:t>2024年一般公共预算</w:t>
      </w:r>
      <w:r>
        <w:rPr>
          <w:rFonts w:hint="eastAsia" w:ascii="仿宋_GB2312"/>
          <w:bCs/>
          <w:highlight w:val="none"/>
        </w:rPr>
        <w:t>安排的“三公”经费支出预算</w:t>
      </w:r>
      <w:r>
        <w:rPr>
          <w:rFonts w:hint="eastAsia" w:ascii="仿宋_GB2312"/>
          <w:bCs/>
          <w:highlight w:val="none"/>
          <w:lang w:val="en-US" w:eastAsia="zh-CN"/>
        </w:rPr>
        <w:t>27.98</w:t>
      </w:r>
      <w:r>
        <w:rPr>
          <w:rFonts w:hint="eastAsia" w:ascii="仿宋_GB2312"/>
          <w:bCs/>
          <w:highlight w:val="none"/>
        </w:rPr>
        <w:t>万元，同口径比2023年减少</w:t>
      </w:r>
      <w:r>
        <w:rPr>
          <w:rFonts w:hint="eastAsia" w:ascii="仿宋_GB2312"/>
          <w:bCs/>
          <w:highlight w:val="none"/>
          <w:lang w:val="en-US" w:eastAsia="zh-CN"/>
        </w:rPr>
        <w:t>7.11</w:t>
      </w:r>
      <w:r>
        <w:rPr>
          <w:rFonts w:hint="eastAsia" w:ascii="仿宋_GB2312"/>
          <w:bCs/>
          <w:highlight w:val="none"/>
        </w:rPr>
        <w:t>万元，下降</w:t>
      </w:r>
      <w:r>
        <w:rPr>
          <w:rFonts w:hint="eastAsia" w:ascii="仿宋_GB2312"/>
          <w:bCs/>
          <w:highlight w:val="none"/>
          <w:lang w:val="en-US" w:eastAsia="zh-CN"/>
        </w:rPr>
        <w:t>20.26</w:t>
      </w:r>
      <w:r>
        <w:rPr>
          <w:rFonts w:hint="eastAsia" w:ascii="仿宋_GB2312"/>
          <w:bCs/>
          <w:highlight w:val="none"/>
        </w:rPr>
        <w:t>%，具体如下：</w:t>
      </w:r>
    </w:p>
    <w:p>
      <w:pPr>
        <w:tabs>
          <w:tab w:val="center" w:pos="4475"/>
        </w:tabs>
        <w:spacing w:line="560" w:lineRule="exact"/>
        <w:ind w:firstLine="645"/>
        <w:rPr>
          <w:rFonts w:hint="eastAsia" w:ascii="仿宋_GB2312" w:hAnsi="仿宋_GB2312" w:eastAsia="仿宋_GB2312" w:cs="仿宋_GB2312"/>
          <w:color w:val="auto"/>
          <w:sz w:val="32"/>
          <w:szCs w:val="32"/>
          <w:highlight w:val="none"/>
        </w:rPr>
      </w:pPr>
      <w:r>
        <w:rPr>
          <w:rFonts w:hint="eastAsia" w:ascii="仿宋_GB2312"/>
          <w:highlight w:val="none"/>
        </w:rPr>
        <w:t>1.因公出国（境）费</w:t>
      </w:r>
      <w:r>
        <w:rPr>
          <w:rFonts w:hint="eastAsia" w:ascii="仿宋_GB2312" w:hAnsi="仿宋_GB2312" w:eastAsia="仿宋_GB2312" w:cs="仿宋_GB2312"/>
          <w:sz w:val="32"/>
          <w:szCs w:val="32"/>
          <w:highlight w:val="none"/>
        </w:rPr>
        <w:t>202</w:t>
      </w:r>
      <w:r>
        <w:rPr>
          <w:rFonts w:hint="eastAsia" w:ascii="仿宋_GB2312" w:hAnsi="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年安排金额</w:t>
      </w:r>
      <w:r>
        <w:rPr>
          <w:rFonts w:hint="eastAsia" w:ascii="仿宋_GB2312" w:hAnsi="仿宋_GB2312" w:eastAsia="仿宋_GB2312" w:cs="仿宋_GB2312"/>
          <w:sz w:val="32"/>
          <w:szCs w:val="32"/>
          <w:highlight w:val="none"/>
          <w:lang w:val="en-US" w:eastAsia="zh-CN"/>
        </w:rPr>
        <w:t>0万元</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与</w:t>
      </w:r>
      <w:r>
        <w:rPr>
          <w:rFonts w:hint="eastAsia" w:ascii="仿宋_GB2312" w:hAnsi="仿宋_GB2312" w:eastAsia="仿宋_GB2312" w:cs="仿宋_GB2312"/>
          <w:sz w:val="32"/>
          <w:szCs w:val="32"/>
          <w:highlight w:val="none"/>
          <w:lang w:val="en-US" w:eastAsia="zh-CN"/>
        </w:rPr>
        <w:t>202</w:t>
      </w:r>
      <w:r>
        <w:rPr>
          <w:rFonts w:hint="eastAsia" w:ascii="仿宋_GB2312" w:hAnsi="仿宋_GB2312" w:cs="仿宋_GB2312"/>
          <w:sz w:val="32"/>
          <w:szCs w:val="32"/>
          <w:highlight w:val="none"/>
          <w:lang w:val="en-US" w:eastAsia="zh-CN"/>
        </w:rPr>
        <w:t>3</w:t>
      </w:r>
      <w:r>
        <w:rPr>
          <w:rFonts w:hint="eastAsia" w:ascii="仿宋_GB2312" w:hAnsi="仿宋_GB2312" w:eastAsia="仿宋_GB2312" w:cs="仿宋_GB2312"/>
          <w:sz w:val="32"/>
          <w:szCs w:val="32"/>
          <w:highlight w:val="none"/>
          <w:lang w:val="en-US" w:eastAsia="zh-CN"/>
        </w:rPr>
        <w:t>年持平</w:t>
      </w:r>
      <w:r>
        <w:rPr>
          <w:rFonts w:hint="eastAsia" w:ascii="仿宋_GB2312" w:hAnsi="仿宋_GB2312" w:eastAsia="仿宋_GB2312" w:cs="仿宋_GB2312"/>
          <w:color w:val="auto"/>
          <w:sz w:val="32"/>
          <w:szCs w:val="32"/>
          <w:highlight w:val="none"/>
        </w:rPr>
        <w:t>。</w:t>
      </w:r>
    </w:p>
    <w:p>
      <w:pPr>
        <w:tabs>
          <w:tab w:val="center" w:pos="4475"/>
        </w:tabs>
        <w:spacing w:line="560" w:lineRule="exact"/>
        <w:ind w:firstLine="645"/>
        <w:rPr>
          <w:rFonts w:hint="eastAsia" w:ascii="仿宋_GB2312" w:hAnsi="仿宋_GB2312" w:eastAsia="仿宋_GB2312" w:cs="仿宋_GB2312"/>
          <w:color w:val="auto"/>
          <w:sz w:val="32"/>
          <w:szCs w:val="32"/>
          <w:highlight w:val="none"/>
        </w:rPr>
      </w:pPr>
      <w:r>
        <w:rPr>
          <w:rFonts w:hint="eastAsia" w:ascii="仿宋_GB2312"/>
          <w:highlight w:val="none"/>
        </w:rPr>
        <w:t>2.公务接待费</w:t>
      </w:r>
      <w:r>
        <w:rPr>
          <w:rFonts w:hint="eastAsia" w:ascii="仿宋_GB2312" w:hAnsi="宋体"/>
          <w:szCs w:val="32"/>
          <w:highlight w:val="none"/>
        </w:rPr>
        <w:t>2024年预算安排</w:t>
      </w:r>
      <w:r>
        <w:rPr>
          <w:rFonts w:hint="eastAsia" w:ascii="仿宋_GB2312" w:hAnsi="宋体"/>
          <w:szCs w:val="32"/>
          <w:highlight w:val="none"/>
          <w:lang w:val="en-US" w:eastAsia="zh-CN"/>
        </w:rPr>
        <w:t>1.66</w:t>
      </w:r>
      <w:r>
        <w:rPr>
          <w:rFonts w:hint="eastAsia" w:ascii="仿宋_GB2312" w:hAnsi="宋体"/>
          <w:szCs w:val="32"/>
          <w:highlight w:val="none"/>
        </w:rPr>
        <w:t>万元，比上年减少</w:t>
      </w:r>
      <w:r>
        <w:rPr>
          <w:rFonts w:hint="eastAsia" w:ascii="仿宋_GB2312" w:hAnsi="宋体"/>
          <w:szCs w:val="32"/>
          <w:highlight w:val="none"/>
          <w:lang w:val="en-US" w:eastAsia="zh-CN"/>
        </w:rPr>
        <w:t>0.45</w:t>
      </w:r>
      <w:r>
        <w:rPr>
          <w:rFonts w:hint="eastAsia" w:ascii="仿宋_GB2312" w:hAnsi="宋体"/>
          <w:szCs w:val="32"/>
          <w:highlight w:val="none"/>
        </w:rPr>
        <w:t>万元，下降</w:t>
      </w:r>
      <w:r>
        <w:rPr>
          <w:rFonts w:hint="eastAsia" w:ascii="仿宋_GB2312" w:hAnsi="宋体"/>
          <w:szCs w:val="32"/>
          <w:highlight w:val="none"/>
          <w:lang w:val="en-US" w:eastAsia="zh-CN"/>
        </w:rPr>
        <w:t>21.33</w:t>
      </w:r>
      <w:r>
        <w:rPr>
          <w:rFonts w:hint="eastAsia" w:ascii="仿宋_GB2312" w:hAnsi="宋体"/>
          <w:szCs w:val="32"/>
          <w:highlight w:val="none"/>
        </w:rPr>
        <w:t>%，</w:t>
      </w:r>
      <w:r>
        <w:rPr>
          <w:rFonts w:ascii="仿宋_GB2312" w:hAnsi="宋体" w:eastAsia="仿宋_GB2312" w:cs="仿宋_GB2312"/>
          <w:i w:val="0"/>
          <w:iCs w:val="0"/>
          <w:caps w:val="0"/>
          <w:color w:val="000000"/>
          <w:spacing w:val="0"/>
          <w:sz w:val="31"/>
          <w:szCs w:val="31"/>
          <w:highlight w:val="none"/>
          <w:shd w:val="clear" w:fill="FFFFFF"/>
        </w:rPr>
        <w:t>减少的主要原因是按照中央过紧日子的精神，进一步压缩开支。</w:t>
      </w:r>
    </w:p>
    <w:p>
      <w:pPr>
        <w:tabs>
          <w:tab w:val="center" w:pos="4475"/>
        </w:tabs>
        <w:spacing w:line="560" w:lineRule="exact"/>
        <w:ind w:firstLine="645"/>
        <w:rPr>
          <w:rFonts w:ascii="仿宋_GB2312" w:hAnsi="宋体"/>
          <w:szCs w:val="32"/>
          <w:highlight w:val="none"/>
        </w:rPr>
      </w:pPr>
      <w:r>
        <w:rPr>
          <w:rFonts w:hint="eastAsia" w:ascii="仿宋_GB2312"/>
          <w:highlight w:val="none"/>
        </w:rPr>
        <w:t>3.公务用车购置及运行费</w:t>
      </w:r>
      <w:r>
        <w:rPr>
          <w:rFonts w:hint="eastAsia" w:ascii="仿宋_GB2312" w:hAnsi="宋体"/>
          <w:szCs w:val="32"/>
          <w:highlight w:val="none"/>
        </w:rPr>
        <w:t>2024年预算安排</w:t>
      </w:r>
      <w:r>
        <w:rPr>
          <w:rFonts w:hint="eastAsia" w:ascii="仿宋_GB2312" w:hAnsi="宋体"/>
          <w:szCs w:val="32"/>
          <w:highlight w:val="none"/>
          <w:lang w:val="en-US" w:eastAsia="zh-CN"/>
        </w:rPr>
        <w:t>21.66</w:t>
      </w:r>
      <w:r>
        <w:rPr>
          <w:rFonts w:hint="eastAsia" w:ascii="仿宋_GB2312" w:hAnsi="宋体"/>
          <w:szCs w:val="32"/>
          <w:highlight w:val="none"/>
        </w:rPr>
        <w:t>万元，比上年减少</w:t>
      </w:r>
      <w:r>
        <w:rPr>
          <w:rFonts w:hint="eastAsia" w:ascii="仿宋_GB2312" w:hAnsi="宋体"/>
          <w:szCs w:val="32"/>
          <w:highlight w:val="none"/>
          <w:lang w:val="en-US" w:eastAsia="zh-CN"/>
        </w:rPr>
        <w:t>5.42</w:t>
      </w:r>
      <w:r>
        <w:rPr>
          <w:rFonts w:hint="eastAsia" w:ascii="仿宋_GB2312" w:hAnsi="宋体"/>
          <w:szCs w:val="32"/>
          <w:highlight w:val="none"/>
        </w:rPr>
        <w:t>万元，下降</w:t>
      </w:r>
      <w:r>
        <w:rPr>
          <w:rFonts w:hint="eastAsia" w:ascii="仿宋_GB2312" w:hAnsi="宋体"/>
          <w:szCs w:val="32"/>
          <w:highlight w:val="none"/>
          <w:lang w:val="en-US" w:eastAsia="zh-CN"/>
        </w:rPr>
        <w:t>20.01</w:t>
      </w:r>
      <w:r>
        <w:rPr>
          <w:rFonts w:hint="eastAsia" w:ascii="仿宋_GB2312" w:hAnsi="宋体"/>
          <w:szCs w:val="32"/>
          <w:highlight w:val="none"/>
        </w:rPr>
        <w:t>%，其中：</w:t>
      </w:r>
    </w:p>
    <w:p>
      <w:pPr>
        <w:tabs>
          <w:tab w:val="center" w:pos="4475"/>
        </w:tabs>
        <w:spacing w:line="560" w:lineRule="exact"/>
        <w:ind w:firstLine="645"/>
        <w:rPr>
          <w:rFonts w:hint="eastAsia" w:ascii="仿宋_GB2312" w:hAnsi="宋体"/>
          <w:szCs w:val="32"/>
          <w:highlight w:val="none"/>
          <w:lang w:val="en-US" w:eastAsia="zh-CN"/>
        </w:rPr>
      </w:pPr>
      <w:r>
        <w:rPr>
          <w:rFonts w:hint="eastAsia" w:ascii="仿宋_GB2312" w:hAnsi="宋体"/>
          <w:szCs w:val="32"/>
          <w:highlight w:val="none"/>
        </w:rPr>
        <w:t>公务用车购置费2024年预算安排</w:t>
      </w:r>
      <w:r>
        <w:rPr>
          <w:rFonts w:hint="eastAsia" w:ascii="仿宋_GB2312" w:hAnsi="宋体"/>
          <w:szCs w:val="32"/>
          <w:highlight w:val="none"/>
          <w:lang w:val="en-US" w:eastAsia="zh-CN"/>
        </w:rPr>
        <w:t>0</w:t>
      </w:r>
      <w:r>
        <w:rPr>
          <w:rFonts w:hint="eastAsia" w:ascii="仿宋_GB2312" w:hAnsi="宋体"/>
          <w:szCs w:val="32"/>
          <w:highlight w:val="none"/>
        </w:rPr>
        <w:t>万元，</w:t>
      </w:r>
      <w:r>
        <w:rPr>
          <w:rFonts w:hint="eastAsia" w:ascii="仿宋_GB2312" w:hAnsi="宋体"/>
          <w:szCs w:val="32"/>
          <w:highlight w:val="none"/>
          <w:lang w:eastAsia="zh-CN"/>
        </w:rPr>
        <w:t>与</w:t>
      </w:r>
      <w:r>
        <w:rPr>
          <w:rFonts w:hint="eastAsia" w:ascii="仿宋_GB2312" w:hAnsi="宋体"/>
          <w:szCs w:val="32"/>
          <w:highlight w:val="none"/>
          <w:lang w:val="en-US" w:eastAsia="zh-CN"/>
        </w:rPr>
        <w:t>2023年持平;</w:t>
      </w:r>
    </w:p>
    <w:p>
      <w:pPr>
        <w:tabs>
          <w:tab w:val="center" w:pos="4475"/>
        </w:tabs>
        <w:spacing w:line="560" w:lineRule="exact"/>
        <w:ind w:firstLine="645"/>
        <w:rPr>
          <w:rFonts w:ascii="仿宋_GB2312" w:hAnsi="宋体" w:eastAsia="仿宋_GB2312" w:cs="仿宋_GB2312"/>
          <w:i w:val="0"/>
          <w:iCs w:val="0"/>
          <w:caps w:val="0"/>
          <w:color w:val="000000"/>
          <w:spacing w:val="0"/>
          <w:sz w:val="31"/>
          <w:szCs w:val="31"/>
          <w:highlight w:val="none"/>
          <w:shd w:val="clear" w:fill="FFFFFF"/>
        </w:rPr>
      </w:pPr>
      <w:r>
        <w:rPr>
          <w:rFonts w:hint="eastAsia" w:ascii="仿宋_GB2312" w:hAnsi="宋体"/>
          <w:szCs w:val="32"/>
          <w:highlight w:val="none"/>
        </w:rPr>
        <w:t>公务用车运行维护费2024年预算安排</w:t>
      </w:r>
      <w:r>
        <w:rPr>
          <w:rFonts w:hint="eastAsia" w:ascii="仿宋_GB2312" w:hAnsi="宋体"/>
          <w:szCs w:val="32"/>
          <w:highlight w:val="none"/>
          <w:lang w:val="en-US" w:eastAsia="zh-CN"/>
        </w:rPr>
        <w:t>21.66</w:t>
      </w:r>
      <w:r>
        <w:rPr>
          <w:rFonts w:hint="eastAsia" w:ascii="仿宋_GB2312" w:hAnsi="宋体"/>
          <w:szCs w:val="32"/>
          <w:highlight w:val="none"/>
        </w:rPr>
        <w:t>万元，比上年减少</w:t>
      </w:r>
      <w:r>
        <w:rPr>
          <w:rFonts w:hint="eastAsia" w:ascii="仿宋_GB2312" w:hAnsi="宋体"/>
          <w:szCs w:val="32"/>
          <w:highlight w:val="none"/>
          <w:lang w:val="en-US" w:eastAsia="zh-CN"/>
        </w:rPr>
        <w:t>5.42</w:t>
      </w:r>
      <w:r>
        <w:rPr>
          <w:rFonts w:hint="eastAsia" w:ascii="仿宋_GB2312" w:hAnsi="宋体"/>
          <w:szCs w:val="32"/>
          <w:highlight w:val="none"/>
        </w:rPr>
        <w:t>万元，下降</w:t>
      </w:r>
      <w:r>
        <w:rPr>
          <w:rFonts w:hint="eastAsia" w:ascii="仿宋_GB2312" w:hAnsi="宋体"/>
          <w:szCs w:val="32"/>
          <w:highlight w:val="none"/>
          <w:lang w:val="en-US" w:eastAsia="zh-CN"/>
        </w:rPr>
        <w:t>20.01</w:t>
      </w:r>
      <w:r>
        <w:rPr>
          <w:rFonts w:hint="eastAsia" w:ascii="仿宋_GB2312" w:hAnsi="宋体"/>
          <w:szCs w:val="32"/>
          <w:highlight w:val="none"/>
        </w:rPr>
        <w:t>%，</w:t>
      </w:r>
      <w:r>
        <w:rPr>
          <w:rFonts w:ascii="仿宋_GB2312" w:hAnsi="宋体" w:eastAsia="仿宋_GB2312" w:cs="仿宋_GB2312"/>
          <w:i w:val="0"/>
          <w:iCs w:val="0"/>
          <w:caps w:val="0"/>
          <w:color w:val="000000"/>
          <w:spacing w:val="0"/>
          <w:sz w:val="31"/>
          <w:szCs w:val="31"/>
          <w:highlight w:val="none"/>
          <w:shd w:val="clear" w:fill="FFFFFF"/>
        </w:rPr>
        <w:t>减少的主要原因是按照中央过紧日子的精神，进一步压缩开支。</w:t>
      </w:r>
    </w:p>
    <w:p>
      <w:pPr>
        <w:tabs>
          <w:tab w:val="center" w:pos="4475"/>
        </w:tabs>
        <w:spacing w:line="560" w:lineRule="exact"/>
        <w:ind w:firstLine="645"/>
        <w:rPr>
          <w:rFonts w:ascii="黑体" w:eastAsia="黑体"/>
          <w:szCs w:val="32"/>
          <w:highlight w:val="none"/>
        </w:rPr>
      </w:pPr>
      <w:r>
        <w:rPr>
          <w:rFonts w:hint="eastAsia" w:ascii="黑体" w:eastAsia="黑体"/>
          <w:szCs w:val="32"/>
          <w:highlight w:val="none"/>
        </w:rPr>
        <w:t>八、政府性基金预算支出情况说明</w:t>
      </w:r>
    </w:p>
    <w:p>
      <w:pPr>
        <w:tabs>
          <w:tab w:val="center" w:pos="4475"/>
        </w:tabs>
        <w:spacing w:line="560" w:lineRule="exact"/>
        <w:ind w:firstLine="645"/>
        <w:rPr>
          <w:rFonts w:ascii="黑体" w:eastAsia="黑体"/>
          <w:szCs w:val="32"/>
          <w:highlight w:val="none"/>
        </w:rPr>
      </w:pPr>
      <w:r>
        <w:rPr>
          <w:rFonts w:hint="eastAsia" w:ascii="仿宋_GB2312"/>
          <w:szCs w:val="32"/>
          <w:highlight w:val="none"/>
          <w:lang w:val="en-US" w:eastAsia="zh-CN"/>
        </w:rPr>
        <w:t>我部门2024年部门预算无政府性基金预算。</w:t>
      </w:r>
    </w:p>
    <w:p>
      <w:pPr>
        <w:tabs>
          <w:tab w:val="center" w:pos="4475"/>
        </w:tabs>
        <w:spacing w:line="560" w:lineRule="exact"/>
        <w:ind w:firstLine="645"/>
        <w:rPr>
          <w:rFonts w:ascii="黑体" w:eastAsia="黑体"/>
          <w:szCs w:val="32"/>
          <w:highlight w:val="none"/>
        </w:rPr>
      </w:pPr>
      <w:r>
        <w:rPr>
          <w:rFonts w:hint="eastAsia" w:ascii="黑体" w:eastAsia="黑体"/>
          <w:szCs w:val="32"/>
          <w:highlight w:val="none"/>
        </w:rPr>
        <w:t>九、国有资本经营预算支出情况说明</w:t>
      </w:r>
    </w:p>
    <w:p>
      <w:pPr>
        <w:tabs>
          <w:tab w:val="center" w:pos="4475"/>
        </w:tabs>
        <w:spacing w:line="560" w:lineRule="exact"/>
        <w:ind w:firstLine="645"/>
        <w:rPr>
          <w:rFonts w:ascii="黑体" w:eastAsia="黑体"/>
          <w:szCs w:val="32"/>
          <w:highlight w:val="none"/>
        </w:rPr>
      </w:pPr>
      <w:r>
        <w:rPr>
          <w:rFonts w:hint="eastAsia" w:ascii="仿宋_GB2312"/>
          <w:szCs w:val="32"/>
          <w:highlight w:val="none"/>
          <w:lang w:eastAsia="zh-CN"/>
        </w:rPr>
        <w:t>我部门</w:t>
      </w:r>
      <w:r>
        <w:rPr>
          <w:rFonts w:hint="eastAsia" w:ascii="仿宋_GB2312"/>
          <w:szCs w:val="32"/>
          <w:highlight w:val="none"/>
          <w:lang w:val="en-US" w:eastAsia="zh-CN"/>
        </w:rPr>
        <w:t>2024年部门预算无</w:t>
      </w:r>
      <w:r>
        <w:rPr>
          <w:rFonts w:hint="eastAsia" w:ascii="仿宋_GB2312"/>
          <w:szCs w:val="32"/>
          <w:highlight w:val="none"/>
        </w:rPr>
        <w:t>国有资本经营预算。</w:t>
      </w:r>
    </w:p>
    <w:p>
      <w:pPr>
        <w:tabs>
          <w:tab w:val="center" w:pos="4475"/>
        </w:tabs>
        <w:spacing w:line="560" w:lineRule="exact"/>
        <w:ind w:firstLine="645"/>
        <w:rPr>
          <w:rFonts w:ascii="黑体" w:eastAsia="黑体"/>
          <w:szCs w:val="32"/>
          <w:highlight w:val="none"/>
        </w:rPr>
      </w:pPr>
      <w:r>
        <w:rPr>
          <w:rFonts w:hint="eastAsia" w:ascii="黑体" w:eastAsia="黑体"/>
          <w:szCs w:val="32"/>
          <w:highlight w:val="none"/>
        </w:rPr>
        <w:t>十、其他重要事项情况说明</w:t>
      </w:r>
    </w:p>
    <w:p>
      <w:pPr>
        <w:tabs>
          <w:tab w:val="center" w:pos="4475"/>
        </w:tabs>
        <w:spacing w:line="560" w:lineRule="exact"/>
        <w:ind w:firstLine="645"/>
        <w:rPr>
          <w:rFonts w:ascii="楷体_GB2312" w:hAnsi="楷体_GB2312" w:eastAsia="楷体_GB2312" w:cs="楷体_GB2312"/>
          <w:szCs w:val="32"/>
          <w:highlight w:val="none"/>
        </w:rPr>
      </w:pPr>
      <w:r>
        <w:rPr>
          <w:rFonts w:hint="eastAsia" w:ascii="楷体_GB2312" w:hAnsi="楷体_GB2312" w:eastAsia="楷体_GB2312" w:cs="楷体_GB2312"/>
          <w:szCs w:val="32"/>
          <w:highlight w:val="none"/>
        </w:rPr>
        <w:t>（一）机关运行经费安排情况说明</w:t>
      </w:r>
    </w:p>
    <w:p>
      <w:pPr>
        <w:autoSpaceDE w:val="0"/>
        <w:autoSpaceDN w:val="0"/>
        <w:adjustRightInd w:val="0"/>
        <w:spacing w:beforeAutospacing="0" w:afterAutospacing="0" w:line="586" w:lineRule="exact"/>
        <w:ind w:firstLine="640" w:firstLineChars="200"/>
        <w:rPr>
          <w:rFonts w:hint="eastAsia" w:ascii="仿宋_GB2312" w:hAnsi="仿宋_GB2312" w:eastAsia="仿宋_GB2312" w:cs="仿宋_GB2312"/>
          <w:color w:val="000000"/>
          <w:sz w:val="32"/>
          <w:szCs w:val="32"/>
          <w:highlight w:val="none"/>
          <w:lang w:val="en-US"/>
        </w:rPr>
      </w:pPr>
      <w:r>
        <w:rPr>
          <w:rFonts w:hint="eastAsia" w:ascii="仿宋_GB2312" w:hAnsi="仿宋_GB2312" w:eastAsia="仿宋_GB2312" w:cs="仿宋_GB2312"/>
          <w:sz w:val="32"/>
          <w:szCs w:val="32"/>
          <w:highlight w:val="none"/>
        </w:rPr>
        <w:t>20</w:t>
      </w:r>
      <w:r>
        <w:rPr>
          <w:rFonts w:hint="eastAsia" w:ascii="仿宋_GB2312" w:hAnsi="仿宋_GB2312" w:eastAsia="仿宋_GB2312" w:cs="仿宋_GB2312"/>
          <w:sz w:val="32"/>
          <w:szCs w:val="32"/>
          <w:highlight w:val="none"/>
          <w:lang w:val="en-US" w:eastAsia="zh-CN"/>
        </w:rPr>
        <w:t>2</w:t>
      </w:r>
      <w:r>
        <w:rPr>
          <w:rFonts w:hint="eastAsia" w:ascii="仿宋_GB2312" w:hAnsi="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部门预算</w:t>
      </w:r>
      <w:r>
        <w:rPr>
          <w:rFonts w:hint="eastAsia" w:ascii="仿宋_GB2312" w:hAnsi="仿宋_GB2312" w:eastAsia="仿宋_GB2312" w:cs="仿宋_GB2312"/>
          <w:color w:val="000000"/>
          <w:sz w:val="32"/>
          <w:szCs w:val="32"/>
          <w:highlight w:val="none"/>
          <w:lang w:val="en-US" w:eastAsia="zh-CN"/>
        </w:rPr>
        <w:t>安排的机关运行经费支出预算</w:t>
      </w:r>
      <w:r>
        <w:rPr>
          <w:rFonts w:hint="eastAsia" w:ascii="仿宋_GB2312" w:hAnsi="仿宋_GB2312" w:cs="仿宋_GB2312"/>
          <w:color w:val="000000"/>
          <w:sz w:val="32"/>
          <w:szCs w:val="32"/>
          <w:highlight w:val="none"/>
          <w:lang w:val="en-US" w:eastAsia="zh-CN"/>
        </w:rPr>
        <w:t>总额204.28</w:t>
      </w:r>
      <w:r>
        <w:rPr>
          <w:rFonts w:hint="eastAsia" w:ascii="仿宋_GB2312" w:hAnsi="仿宋_GB2312" w:eastAsia="仿宋_GB2312" w:cs="仿宋_GB2312"/>
          <w:color w:val="000000"/>
          <w:sz w:val="32"/>
          <w:szCs w:val="32"/>
          <w:highlight w:val="none"/>
          <w:lang w:val="en-US" w:eastAsia="zh-CN"/>
        </w:rPr>
        <w:t>万元，</w:t>
      </w:r>
      <w:r>
        <w:rPr>
          <w:rFonts w:hint="eastAsia" w:ascii="仿宋_GB2312" w:hAnsi="仿宋_GB2312" w:cs="仿宋_GB2312"/>
          <w:color w:val="000000"/>
          <w:sz w:val="32"/>
          <w:szCs w:val="32"/>
          <w:highlight w:val="none"/>
          <w:lang w:val="en-US" w:eastAsia="zh-CN"/>
        </w:rPr>
        <w:t>占支出总预算9.24%，</w:t>
      </w:r>
      <w:r>
        <w:rPr>
          <w:rFonts w:hint="eastAsia" w:ascii="仿宋_GB2312" w:hAnsi="仿宋_GB2312" w:eastAsia="仿宋_GB2312" w:cs="仿宋_GB2312"/>
          <w:sz w:val="32"/>
          <w:szCs w:val="32"/>
          <w:highlight w:val="none"/>
        </w:rPr>
        <w:t>比</w:t>
      </w:r>
      <w:r>
        <w:rPr>
          <w:rFonts w:hint="eastAsia" w:ascii="仿宋_GB2312" w:hAnsi="仿宋_GB2312" w:eastAsia="仿宋_GB2312" w:cs="仿宋_GB2312"/>
          <w:sz w:val="32"/>
          <w:szCs w:val="32"/>
          <w:highlight w:val="none"/>
          <w:lang w:eastAsia="zh-CN"/>
        </w:rPr>
        <w:t>202</w:t>
      </w:r>
      <w:r>
        <w:rPr>
          <w:rFonts w:hint="eastAsia" w:ascii="仿宋_GB2312" w:hAnsi="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年预算</w:t>
      </w:r>
      <w:r>
        <w:rPr>
          <w:rFonts w:hint="eastAsia" w:ascii="仿宋_GB2312" w:hAnsi="仿宋_GB2312" w:eastAsia="仿宋_GB2312" w:cs="仿宋_GB2312"/>
          <w:sz w:val="32"/>
          <w:szCs w:val="32"/>
          <w:highlight w:val="none"/>
          <w:lang w:val="en-US" w:eastAsia="zh-CN"/>
        </w:rPr>
        <w:t>减少</w:t>
      </w:r>
      <w:r>
        <w:rPr>
          <w:rFonts w:hint="eastAsia" w:ascii="仿宋_GB2312" w:hAnsi="仿宋_GB2312" w:cs="仿宋_GB2312"/>
          <w:sz w:val="32"/>
          <w:szCs w:val="32"/>
          <w:highlight w:val="none"/>
          <w:lang w:val="en-US" w:eastAsia="zh-CN"/>
        </w:rPr>
        <w:t>9.67</w:t>
      </w:r>
      <w:r>
        <w:rPr>
          <w:rFonts w:hint="eastAsia" w:ascii="仿宋_GB2312" w:hAnsi="仿宋_GB2312" w:eastAsia="仿宋_GB2312" w:cs="仿宋_GB2312"/>
          <w:sz w:val="32"/>
          <w:szCs w:val="32"/>
          <w:highlight w:val="none"/>
        </w:rPr>
        <w:t>万元，同比</w:t>
      </w:r>
      <w:r>
        <w:rPr>
          <w:rFonts w:hint="eastAsia" w:ascii="仿宋_GB2312" w:hAnsi="仿宋_GB2312" w:eastAsia="仿宋_GB2312" w:cs="仿宋_GB2312"/>
          <w:sz w:val="32"/>
          <w:szCs w:val="32"/>
          <w:highlight w:val="none"/>
          <w:lang w:eastAsia="zh-CN"/>
        </w:rPr>
        <w:t>减少</w:t>
      </w:r>
      <w:r>
        <w:rPr>
          <w:rFonts w:hint="eastAsia" w:ascii="仿宋_GB2312" w:hAnsi="仿宋_GB2312" w:cs="仿宋_GB2312"/>
          <w:sz w:val="32"/>
          <w:szCs w:val="32"/>
          <w:highlight w:val="none"/>
          <w:lang w:val="en-US" w:eastAsia="zh-CN"/>
        </w:rPr>
        <w:t>4.52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000000"/>
          <w:sz w:val="32"/>
          <w:szCs w:val="32"/>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spacing w:beforeAutospacing="0" w:afterAutospacing="0" w:line="580" w:lineRule="exact"/>
        <w:ind w:firstLine="640" w:firstLineChars="200"/>
        <w:jc w:val="both"/>
        <w:rPr>
          <w:rFonts w:hint="default" w:ascii="仿宋_GB2312" w:hAnsi="仿宋_GB2312" w:eastAsia="仿宋_GB2312" w:cs="仿宋_GB2312"/>
          <w:sz w:val="32"/>
          <w:szCs w:val="32"/>
          <w:highlight w:val="none"/>
          <w:lang w:val="en-US" w:eastAsia="zh-CN"/>
        </w:rPr>
      </w:pPr>
      <w:r>
        <w:rPr>
          <w:rFonts w:hint="eastAsia" w:ascii="仿宋_GB2312" w:hAnsi="仿宋_GB2312" w:cs="仿宋_GB2312"/>
          <w:sz w:val="32"/>
          <w:szCs w:val="32"/>
          <w:highlight w:val="none"/>
          <w:lang w:eastAsia="zh-CN"/>
        </w:rPr>
        <w:t>其中：</w:t>
      </w:r>
      <w:r>
        <w:rPr>
          <w:rFonts w:hint="eastAsia" w:ascii="仿宋_GB2312" w:hAnsi="仿宋_GB2312" w:cs="仿宋_GB2312"/>
          <w:sz w:val="32"/>
          <w:szCs w:val="32"/>
          <w:highlight w:val="none"/>
          <w:lang w:val="en-US" w:eastAsia="zh-CN"/>
        </w:rPr>
        <w:t>办公费7.94</w:t>
      </w:r>
      <w:r>
        <w:rPr>
          <w:rFonts w:hint="eastAsia" w:ascii="仿宋_GB2312" w:hAnsi="仿宋_GB2312" w:eastAsia="仿宋_GB2312" w:cs="仿宋_GB2312"/>
          <w:sz w:val="32"/>
          <w:szCs w:val="32"/>
          <w:highlight w:val="none"/>
          <w:lang w:val="en-US" w:eastAsia="zh-CN"/>
        </w:rPr>
        <w:t>万元</w:t>
      </w:r>
      <w:r>
        <w:rPr>
          <w:rFonts w:hint="eastAsia" w:ascii="仿宋_GB2312" w:hAnsi="仿宋_GB2312" w:cs="仿宋_GB2312"/>
          <w:sz w:val="32"/>
          <w:szCs w:val="32"/>
          <w:highlight w:val="none"/>
          <w:lang w:val="en-US" w:eastAsia="zh-CN"/>
        </w:rPr>
        <w:t>，印刷费</w:t>
      </w:r>
      <w:r>
        <w:rPr>
          <w:rFonts w:hint="eastAsia" w:ascii="仿宋_GB2312" w:hAnsi="仿宋_GB2312" w:eastAsia="仿宋_GB2312" w:cs="仿宋_GB2312"/>
          <w:sz w:val="32"/>
          <w:szCs w:val="32"/>
          <w:highlight w:val="none"/>
          <w:lang w:val="en-US" w:eastAsia="zh-CN"/>
        </w:rPr>
        <w:t>2.6</w:t>
      </w:r>
      <w:r>
        <w:rPr>
          <w:rFonts w:hint="eastAsia" w:ascii="仿宋_GB2312" w:hAnsi="仿宋_GB2312" w:cs="仿宋_GB2312"/>
          <w:sz w:val="32"/>
          <w:szCs w:val="32"/>
          <w:highlight w:val="none"/>
          <w:lang w:val="en-US" w:eastAsia="zh-CN"/>
        </w:rPr>
        <w:t>5</w:t>
      </w:r>
      <w:r>
        <w:rPr>
          <w:rFonts w:hint="eastAsia" w:ascii="仿宋_GB2312" w:hAnsi="仿宋_GB2312" w:eastAsia="仿宋_GB2312" w:cs="仿宋_GB2312"/>
          <w:sz w:val="32"/>
          <w:szCs w:val="32"/>
          <w:highlight w:val="none"/>
          <w:lang w:val="en-US" w:eastAsia="zh-CN"/>
        </w:rPr>
        <w:t>万元</w:t>
      </w:r>
      <w:r>
        <w:rPr>
          <w:rFonts w:hint="eastAsia" w:ascii="仿宋_GB2312" w:hAnsi="仿宋_GB2312" w:cs="仿宋_GB2312"/>
          <w:sz w:val="32"/>
          <w:szCs w:val="32"/>
          <w:highlight w:val="none"/>
          <w:lang w:val="en-US" w:eastAsia="zh-CN"/>
        </w:rPr>
        <w:t>，水费7.00</w:t>
      </w:r>
      <w:r>
        <w:rPr>
          <w:rFonts w:hint="eastAsia" w:ascii="仿宋_GB2312" w:hAnsi="仿宋_GB2312" w:eastAsia="仿宋_GB2312" w:cs="仿宋_GB2312"/>
          <w:sz w:val="32"/>
          <w:szCs w:val="32"/>
          <w:highlight w:val="none"/>
          <w:lang w:val="en-US" w:eastAsia="zh-CN"/>
        </w:rPr>
        <w:t>万元</w:t>
      </w:r>
      <w:r>
        <w:rPr>
          <w:rFonts w:hint="eastAsia" w:ascii="仿宋_GB2312" w:hAnsi="仿宋_GB2312" w:cs="仿宋_GB2312"/>
          <w:sz w:val="32"/>
          <w:szCs w:val="32"/>
          <w:highlight w:val="none"/>
          <w:lang w:val="en-US" w:eastAsia="zh-CN"/>
        </w:rPr>
        <w:t>，电费32.44</w:t>
      </w:r>
      <w:r>
        <w:rPr>
          <w:rFonts w:hint="eastAsia" w:ascii="仿宋_GB2312" w:hAnsi="仿宋_GB2312" w:eastAsia="仿宋_GB2312" w:cs="仿宋_GB2312"/>
          <w:sz w:val="32"/>
          <w:szCs w:val="32"/>
          <w:highlight w:val="none"/>
          <w:lang w:val="en-US" w:eastAsia="zh-CN"/>
        </w:rPr>
        <w:t>万元</w:t>
      </w:r>
      <w:r>
        <w:rPr>
          <w:rFonts w:hint="eastAsia" w:ascii="仿宋_GB2312" w:hAnsi="仿宋_GB2312" w:cs="仿宋_GB2312"/>
          <w:sz w:val="32"/>
          <w:szCs w:val="32"/>
          <w:highlight w:val="none"/>
          <w:lang w:val="en-US" w:eastAsia="zh-CN"/>
        </w:rPr>
        <w:t>，邮电费15.52万元，物业管理费80.00万元，差旅费36.91万元，维修（护）费2.29万元，会议费2.33万元，培训费2.33万元，公务接待费1.66万元，工会经费16.57万元，福利费2.34万元，公务用车运行维护费21.66万元，其他交通费用65.82万元，其他商品和服务支出16.81万元。</w:t>
      </w:r>
    </w:p>
    <w:p>
      <w:pPr>
        <w:tabs>
          <w:tab w:val="center" w:pos="4475"/>
        </w:tabs>
        <w:spacing w:line="560" w:lineRule="exact"/>
        <w:ind w:firstLine="645"/>
        <w:rPr>
          <w:rFonts w:ascii="楷体_GB2312" w:hAnsi="楷体_GB2312" w:eastAsia="楷体_GB2312" w:cs="楷体_GB2312"/>
          <w:kern w:val="0"/>
          <w:highlight w:val="none"/>
        </w:rPr>
      </w:pPr>
      <w:r>
        <w:rPr>
          <w:rFonts w:hint="eastAsia" w:ascii="楷体_GB2312" w:hAnsi="楷体_GB2312" w:eastAsia="楷体_GB2312" w:cs="楷体_GB2312"/>
          <w:szCs w:val="32"/>
          <w:highlight w:val="none"/>
        </w:rPr>
        <w:t>（二）</w:t>
      </w:r>
      <w:r>
        <w:rPr>
          <w:rFonts w:hint="eastAsia" w:ascii="楷体_GB2312" w:hAnsi="楷体_GB2312" w:eastAsia="楷体_GB2312" w:cs="楷体_GB2312"/>
          <w:kern w:val="0"/>
          <w:highlight w:val="none"/>
        </w:rPr>
        <w:t>政府采购预算安排情况说明</w:t>
      </w:r>
    </w:p>
    <w:p>
      <w:pPr>
        <w:tabs>
          <w:tab w:val="center" w:pos="4475"/>
        </w:tabs>
        <w:spacing w:line="560" w:lineRule="exact"/>
        <w:ind w:firstLine="645"/>
        <w:rPr>
          <w:rFonts w:hint="eastAsia" w:ascii="仿宋_GB2312" w:hAnsi="宋体" w:eastAsia="仿宋_GB2312"/>
          <w:szCs w:val="32"/>
          <w:highlight w:val="none"/>
          <w:lang w:eastAsia="zh-CN"/>
        </w:rPr>
      </w:pPr>
      <w:r>
        <w:rPr>
          <w:rFonts w:hint="eastAsia" w:ascii="仿宋_GB2312" w:hAnsi="宋体"/>
          <w:szCs w:val="32"/>
          <w:highlight w:val="none"/>
          <w:lang w:eastAsia="zh-CN"/>
        </w:rPr>
        <w:t>兴安县人民法院</w:t>
      </w:r>
      <w:r>
        <w:rPr>
          <w:rFonts w:hint="eastAsia" w:ascii="仿宋_GB2312" w:hAnsi="宋体"/>
          <w:szCs w:val="32"/>
          <w:highlight w:val="none"/>
        </w:rPr>
        <w:t>2024年</w:t>
      </w:r>
      <w:r>
        <w:rPr>
          <w:rFonts w:hint="eastAsia" w:ascii="仿宋_GB2312" w:hAnsi="宋体"/>
          <w:szCs w:val="32"/>
          <w:highlight w:val="none"/>
          <w:lang w:eastAsia="zh-CN"/>
        </w:rPr>
        <w:t>部门预算无</w:t>
      </w:r>
      <w:r>
        <w:rPr>
          <w:rFonts w:hint="eastAsia" w:ascii="仿宋_GB2312" w:hAnsi="宋体"/>
          <w:szCs w:val="32"/>
          <w:highlight w:val="none"/>
        </w:rPr>
        <w:t>政府采购预算</w:t>
      </w:r>
      <w:r>
        <w:rPr>
          <w:rFonts w:hint="eastAsia" w:ascii="仿宋_GB2312" w:hAnsi="宋体"/>
          <w:szCs w:val="32"/>
          <w:highlight w:val="none"/>
          <w:lang w:eastAsia="zh-CN"/>
        </w:rPr>
        <w:t>。</w:t>
      </w:r>
    </w:p>
    <w:p>
      <w:pPr>
        <w:tabs>
          <w:tab w:val="center" w:pos="4475"/>
        </w:tabs>
        <w:spacing w:line="560" w:lineRule="exact"/>
        <w:ind w:firstLine="645"/>
        <w:rPr>
          <w:rFonts w:ascii="楷体_GB2312" w:hAnsi="楷体_GB2312" w:eastAsia="楷体_GB2312" w:cs="楷体_GB2312"/>
          <w:kern w:val="0"/>
          <w:highlight w:val="none"/>
        </w:rPr>
      </w:pPr>
      <w:r>
        <w:rPr>
          <w:rFonts w:hint="eastAsia" w:ascii="楷体_GB2312" w:hAnsi="楷体_GB2312" w:eastAsia="楷体_GB2312" w:cs="楷体_GB2312"/>
          <w:kern w:val="0"/>
          <w:highlight w:val="none"/>
        </w:rPr>
        <w:t>（三）国有资产占用情况说明</w:t>
      </w:r>
    </w:p>
    <w:p>
      <w:pPr>
        <w:tabs>
          <w:tab w:val="center" w:pos="4475"/>
        </w:tabs>
        <w:spacing w:line="560" w:lineRule="exact"/>
        <w:ind w:firstLine="645"/>
        <w:rPr>
          <w:rFonts w:hint="eastAsia" w:ascii="仿宋_GB2312" w:hAnsi="宋体" w:eastAsia="仿宋_GB2312"/>
          <w:szCs w:val="32"/>
          <w:highlight w:val="none"/>
          <w:lang w:eastAsia="zh-CN"/>
        </w:rPr>
      </w:pPr>
      <w:r>
        <w:rPr>
          <w:rFonts w:hint="eastAsia" w:ascii="仿宋_GB2312" w:hAnsi="宋体"/>
          <w:szCs w:val="32"/>
          <w:highlight w:val="none"/>
          <w:lang w:eastAsia="zh-CN"/>
        </w:rPr>
        <w:t>兴安县人民法院</w:t>
      </w:r>
      <w:r>
        <w:rPr>
          <w:rFonts w:hint="eastAsia" w:ascii="仿宋_GB2312" w:hAnsi="宋体"/>
          <w:szCs w:val="32"/>
          <w:highlight w:val="none"/>
        </w:rPr>
        <w:t>2024年</w:t>
      </w:r>
      <w:r>
        <w:rPr>
          <w:rFonts w:hint="eastAsia" w:ascii="仿宋_GB2312" w:hAnsi="宋体"/>
          <w:szCs w:val="32"/>
          <w:highlight w:val="none"/>
          <w:lang w:eastAsia="zh-CN"/>
        </w:rPr>
        <w:t>部门预算无国有资产占用相关情况。</w:t>
      </w:r>
    </w:p>
    <w:p>
      <w:pPr>
        <w:tabs>
          <w:tab w:val="center" w:pos="4475"/>
        </w:tabs>
        <w:spacing w:line="560" w:lineRule="exact"/>
        <w:ind w:firstLine="645"/>
        <w:rPr>
          <w:rFonts w:ascii="楷体_GB2312" w:hAnsi="楷体_GB2312" w:eastAsia="楷体_GB2312" w:cs="楷体_GB2312"/>
          <w:szCs w:val="32"/>
          <w:highlight w:val="none"/>
        </w:rPr>
      </w:pPr>
      <w:r>
        <w:rPr>
          <w:rFonts w:hint="eastAsia" w:ascii="楷体_GB2312" w:hAnsi="楷体_GB2312" w:eastAsia="楷体_GB2312" w:cs="楷体_GB2312"/>
          <w:szCs w:val="32"/>
          <w:highlight w:val="none"/>
        </w:rPr>
        <w:t>（四）预算绩效目标情况说明</w:t>
      </w:r>
    </w:p>
    <w:p>
      <w:pPr>
        <w:tabs>
          <w:tab w:val="center" w:pos="4475"/>
        </w:tabs>
        <w:spacing w:line="560" w:lineRule="exact"/>
        <w:ind w:firstLine="645"/>
        <w:rPr>
          <w:rFonts w:hint="eastAsia" w:ascii="仿宋_GB2312"/>
          <w:szCs w:val="32"/>
          <w:highlight w:val="none"/>
        </w:rPr>
      </w:pPr>
      <w:r>
        <w:rPr>
          <w:rFonts w:hint="eastAsia" w:ascii="仿宋_GB2312"/>
          <w:szCs w:val="32"/>
          <w:highlight w:val="none"/>
          <w:lang w:val="en-US" w:eastAsia="zh-CN"/>
        </w:rPr>
        <w:t>1.</w:t>
      </w:r>
      <w:r>
        <w:rPr>
          <w:rFonts w:hint="eastAsia" w:ascii="仿宋_GB2312"/>
          <w:szCs w:val="32"/>
          <w:highlight w:val="none"/>
          <w:lang w:eastAsia="zh-CN"/>
        </w:rPr>
        <w:t>兴安县人民法院</w:t>
      </w:r>
      <w:r>
        <w:rPr>
          <w:rFonts w:hint="eastAsia" w:ascii="仿宋_GB2312"/>
          <w:szCs w:val="32"/>
          <w:highlight w:val="none"/>
        </w:rPr>
        <w:t>2024年所有项目支出全面实施绩效目标管理，涉及</w:t>
      </w:r>
      <w:r>
        <w:rPr>
          <w:rFonts w:hint="eastAsia" w:ascii="仿宋_GB2312"/>
          <w:szCs w:val="32"/>
          <w:highlight w:val="none"/>
        </w:rPr>
        <w:t>市本级</w:t>
      </w:r>
      <w:r>
        <w:rPr>
          <w:rFonts w:hint="eastAsia" w:ascii="仿宋_GB2312"/>
          <w:szCs w:val="32"/>
          <w:highlight w:val="none"/>
        </w:rPr>
        <w:t>项目</w:t>
      </w:r>
      <w:r>
        <w:rPr>
          <w:rFonts w:hint="eastAsia" w:ascii="仿宋_GB2312"/>
          <w:szCs w:val="32"/>
          <w:highlight w:val="none"/>
          <w:lang w:val="en-US" w:eastAsia="zh-CN"/>
        </w:rPr>
        <w:t>3</w:t>
      </w:r>
      <w:r>
        <w:rPr>
          <w:rFonts w:hint="eastAsia" w:ascii="仿宋_GB2312"/>
          <w:szCs w:val="32"/>
          <w:highlight w:val="none"/>
        </w:rPr>
        <w:t>个，预算资金</w:t>
      </w:r>
      <w:r>
        <w:rPr>
          <w:rFonts w:hint="eastAsia" w:ascii="仿宋_GB2312"/>
          <w:szCs w:val="32"/>
          <w:highlight w:val="none"/>
          <w:lang w:val="en-US" w:eastAsia="zh-CN"/>
        </w:rPr>
        <w:t>122.52</w:t>
      </w:r>
      <w:r>
        <w:rPr>
          <w:rFonts w:hint="eastAsia" w:ascii="仿宋_GB2312"/>
          <w:szCs w:val="32"/>
          <w:highlight w:val="none"/>
        </w:rPr>
        <w:t>万元；对下转移支付项目</w:t>
      </w:r>
      <w:r>
        <w:rPr>
          <w:rFonts w:hint="eastAsia" w:ascii="仿宋_GB2312"/>
          <w:szCs w:val="32"/>
          <w:highlight w:val="none"/>
          <w:lang w:val="en-US" w:eastAsia="zh-CN"/>
        </w:rPr>
        <w:t>0</w:t>
      </w:r>
      <w:r>
        <w:rPr>
          <w:rFonts w:hint="eastAsia" w:ascii="仿宋_GB2312"/>
          <w:szCs w:val="32"/>
          <w:highlight w:val="none"/>
        </w:rPr>
        <w:t>个，预算资金</w:t>
      </w:r>
      <w:r>
        <w:rPr>
          <w:rFonts w:hint="eastAsia" w:ascii="仿宋_GB2312"/>
          <w:szCs w:val="32"/>
          <w:highlight w:val="none"/>
          <w:lang w:val="en-US" w:eastAsia="zh-CN"/>
        </w:rPr>
        <w:t>0</w:t>
      </w:r>
      <w:r>
        <w:rPr>
          <w:rFonts w:hint="eastAsia" w:ascii="仿宋_GB2312"/>
          <w:szCs w:val="32"/>
          <w:highlight w:val="none"/>
        </w:rPr>
        <w:t>万元。</w:t>
      </w:r>
      <w:r>
        <w:rPr>
          <w:rFonts w:hint="eastAsia" w:ascii="仿宋_GB2312"/>
          <w:szCs w:val="32"/>
          <w:highlight w:val="none"/>
        </w:rPr>
        <w:t>绩效目标情况详见预算公开报表-表13（日常运转类项目、工资类人员经费项目和涉密项目等除外）。</w:t>
      </w:r>
    </w:p>
    <w:p>
      <w:pPr>
        <w:tabs>
          <w:tab w:val="center" w:pos="4475"/>
        </w:tabs>
        <w:spacing w:line="560" w:lineRule="exact"/>
        <w:ind w:firstLine="645"/>
        <w:rPr>
          <w:rFonts w:hint="eastAsia" w:ascii="仿宋_GB2312"/>
          <w:szCs w:val="32"/>
          <w:highlight w:val="none"/>
        </w:rPr>
      </w:pPr>
      <w:r>
        <w:rPr>
          <w:rFonts w:hint="eastAsia" w:ascii="仿宋_GB2312"/>
          <w:szCs w:val="32"/>
          <w:highlight w:val="none"/>
        </w:rPr>
        <w:t>2.重点项目预算绩效目标说明。</w:t>
      </w:r>
    </w:p>
    <w:p>
      <w:pPr>
        <w:tabs>
          <w:tab w:val="center" w:pos="4475"/>
        </w:tabs>
        <w:spacing w:line="560" w:lineRule="exact"/>
        <w:ind w:firstLine="645"/>
        <w:rPr>
          <w:rFonts w:ascii="仿宋_GB2312" w:hAnsi="宋体"/>
          <w:szCs w:val="32"/>
          <w:highlight w:val="none"/>
        </w:rPr>
      </w:pPr>
      <w:r>
        <w:rPr>
          <w:rFonts w:hint="eastAsia" w:ascii="仿宋_GB2312" w:hAnsi="宋体"/>
          <w:szCs w:val="32"/>
          <w:highlight w:val="none"/>
        </w:rPr>
        <w:t>重点项目一：项目名称法院乡村振兴第一书记项目，预算资金</w:t>
      </w:r>
      <w:r>
        <w:rPr>
          <w:rFonts w:hint="eastAsia" w:ascii="仿宋_GB2312" w:hAnsi="宋体"/>
          <w:szCs w:val="32"/>
          <w:highlight w:val="none"/>
          <w:lang w:val="en-US" w:eastAsia="zh-CN"/>
        </w:rPr>
        <w:t>1.5</w:t>
      </w:r>
      <w:r>
        <w:rPr>
          <w:rFonts w:hint="eastAsia" w:ascii="仿宋_GB2312" w:hAnsi="宋体"/>
          <w:szCs w:val="32"/>
          <w:highlight w:val="none"/>
        </w:rPr>
        <w:t>万元，2024年度绩效目标为保障法院2024年乡村振兴第一书记项目经费及时到位，确保我院乡村振兴帮扶工作正常进行。</w:t>
      </w:r>
    </w:p>
    <w:p>
      <w:pPr>
        <w:pStyle w:val="2"/>
        <w:rPr>
          <w:highlight w:val="none"/>
        </w:rPr>
      </w:pPr>
    </w:p>
    <w:p>
      <w:pPr>
        <w:tabs>
          <w:tab w:val="center" w:pos="4475"/>
        </w:tabs>
        <w:spacing w:line="560" w:lineRule="exact"/>
        <w:ind w:firstLine="645"/>
        <w:rPr>
          <w:rFonts w:ascii="黑体" w:eastAsia="黑体"/>
          <w:szCs w:val="32"/>
          <w:highlight w:val="none"/>
        </w:rPr>
      </w:pPr>
      <w:r>
        <w:rPr>
          <w:rFonts w:hint="eastAsia" w:ascii="黑体" w:eastAsia="黑体"/>
          <w:szCs w:val="32"/>
          <w:highlight w:val="none"/>
        </w:rPr>
        <w:t>第三部分：名词解释</w:t>
      </w:r>
    </w:p>
    <w:p>
      <w:pPr>
        <w:keepNext w:val="0"/>
        <w:keepLines w:val="0"/>
        <w:pageBreakBefore w:val="0"/>
        <w:widowControl w:val="0"/>
        <w:tabs>
          <w:tab w:val="center" w:pos="4475"/>
        </w:tabs>
        <w:kinsoku/>
        <w:wordWrap/>
        <w:overflowPunct/>
        <w:topLinePunct w:val="0"/>
        <w:bidi w:val="0"/>
        <w:spacing w:beforeAutospacing="0" w:afterAutospacing="0" w:line="580" w:lineRule="exact"/>
        <w:ind w:firstLine="645"/>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sz w:val="32"/>
          <w:szCs w:val="32"/>
          <w:highlight w:val="none"/>
        </w:rPr>
        <w:t>一</w:t>
      </w:r>
      <w:r>
        <w:rPr>
          <w:rFonts w:hint="eastAsia" w:ascii="仿宋_GB2312" w:hAnsi="仿宋_GB2312" w:eastAsia="仿宋_GB2312" w:cs="仿宋_GB2312"/>
          <w:b w:val="0"/>
          <w:bCs w:val="0"/>
          <w:color w:val="000000"/>
          <w:sz w:val="32"/>
          <w:szCs w:val="32"/>
          <w:highlight w:val="none"/>
          <w:lang w:val="en-US" w:eastAsia="zh-CN"/>
        </w:rPr>
        <w:t xml:space="preserve">、财政拨款收入：指县级财政部门当年拨付的资金。 </w:t>
      </w:r>
    </w:p>
    <w:p>
      <w:pPr>
        <w:keepNext w:val="0"/>
        <w:keepLines w:val="0"/>
        <w:pageBreakBefore w:val="0"/>
        <w:widowControl w:val="0"/>
        <w:tabs>
          <w:tab w:val="center" w:pos="4475"/>
        </w:tabs>
        <w:kinsoku/>
        <w:wordWrap/>
        <w:overflowPunct/>
        <w:topLinePunct w:val="0"/>
        <w:bidi w:val="0"/>
        <w:spacing w:beforeAutospacing="0" w:afterAutospacing="0" w:line="580" w:lineRule="exact"/>
        <w:ind w:firstLine="645"/>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 xml:space="preserve">二、其他收入：指除上述“财政拨款收入”、“事业收入”、“经营收入”等以外的收入。 </w:t>
      </w:r>
    </w:p>
    <w:p>
      <w:pPr>
        <w:keepNext w:val="0"/>
        <w:keepLines w:val="0"/>
        <w:pageBreakBefore w:val="0"/>
        <w:widowControl w:val="0"/>
        <w:tabs>
          <w:tab w:val="center" w:pos="4475"/>
        </w:tabs>
        <w:kinsoku/>
        <w:wordWrap/>
        <w:overflowPunct/>
        <w:topLinePunct w:val="0"/>
        <w:bidi w:val="0"/>
        <w:spacing w:beforeAutospacing="0" w:afterAutospacing="0" w:line="580" w:lineRule="exact"/>
        <w:ind w:firstLine="645"/>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 xml:space="preserve">三、年初结转和结余：指以前年度尚未完成、结转到本年，按有关规定继续使用的资金。 </w:t>
      </w:r>
    </w:p>
    <w:p>
      <w:pPr>
        <w:keepNext w:val="0"/>
        <w:keepLines w:val="0"/>
        <w:pageBreakBefore w:val="0"/>
        <w:widowControl w:val="0"/>
        <w:tabs>
          <w:tab w:val="center" w:pos="4475"/>
        </w:tabs>
        <w:kinsoku/>
        <w:wordWrap/>
        <w:overflowPunct/>
        <w:topLinePunct w:val="0"/>
        <w:bidi w:val="0"/>
        <w:spacing w:beforeAutospacing="0" w:afterAutospacing="0" w:line="580" w:lineRule="exact"/>
        <w:ind w:firstLine="645"/>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 xml:space="preserve">四、结余分配：指事业单位按规定提取的职工福利基金、事业基金和缴纳的所得税，以及建设单位按规定应交回的基本建设竣工项目结余资金。 </w:t>
      </w:r>
    </w:p>
    <w:p>
      <w:pPr>
        <w:keepNext w:val="0"/>
        <w:keepLines w:val="0"/>
        <w:pageBreakBefore w:val="0"/>
        <w:widowControl w:val="0"/>
        <w:tabs>
          <w:tab w:val="center" w:pos="4475"/>
        </w:tabs>
        <w:kinsoku/>
        <w:wordWrap/>
        <w:overflowPunct/>
        <w:topLinePunct w:val="0"/>
        <w:bidi w:val="0"/>
        <w:spacing w:beforeAutospacing="0" w:afterAutospacing="0" w:line="580" w:lineRule="exact"/>
        <w:ind w:firstLine="645"/>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 xml:space="preserve">五、年末结转和结余：指本年度或以前年度预算安排、因客观条件发生变化无法按原计划实施，需要延迟到以后年度按有关规定继续使用的资金。 </w:t>
      </w:r>
    </w:p>
    <w:p>
      <w:pPr>
        <w:keepNext w:val="0"/>
        <w:keepLines w:val="0"/>
        <w:pageBreakBefore w:val="0"/>
        <w:widowControl w:val="0"/>
        <w:tabs>
          <w:tab w:val="center" w:pos="4475"/>
        </w:tabs>
        <w:kinsoku/>
        <w:wordWrap/>
        <w:overflowPunct/>
        <w:topLinePunct w:val="0"/>
        <w:bidi w:val="0"/>
        <w:spacing w:beforeAutospacing="0" w:afterAutospacing="0" w:line="580" w:lineRule="exact"/>
        <w:ind w:firstLine="645"/>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 xml:space="preserve">六、基本支出：指为保障机构正常运转、完成日常工作任务而发生的人员支出和公用支出。 </w:t>
      </w:r>
    </w:p>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80" w:lineRule="exact"/>
        <w:ind w:left="-224" w:leftChars="-70" w:firstLine="947" w:firstLineChars="296"/>
        <w:rPr>
          <w:rFonts w:ascii="黑体" w:eastAsia="黑体"/>
          <w:szCs w:val="32"/>
          <w:highlight w:val="none"/>
        </w:rPr>
      </w:pPr>
      <w:r>
        <w:rPr>
          <w:rFonts w:hint="eastAsia" w:ascii="仿宋_GB2312" w:hAnsi="仿宋_GB2312" w:eastAsia="仿宋_GB2312" w:cs="仿宋_GB2312"/>
          <w:b w:val="0"/>
          <w:bCs w:val="0"/>
          <w:color w:val="000000"/>
          <w:sz w:val="32"/>
          <w:szCs w:val="32"/>
          <w:highlight w:val="none"/>
          <w:lang w:val="en-US" w:eastAsia="zh-CN"/>
        </w:rPr>
        <w:t>七、项目支出：指在基本支出之外为完成特定行政任务和事业发展目标所发生的支出。</w:t>
      </w:r>
    </w:p>
    <w:p>
      <w:pPr>
        <w:tabs>
          <w:tab w:val="center" w:pos="4475"/>
        </w:tabs>
        <w:spacing w:line="560" w:lineRule="exact"/>
        <w:ind w:firstLine="645"/>
        <w:rPr>
          <w:rFonts w:ascii="黑体" w:eastAsia="黑体"/>
          <w:szCs w:val="32"/>
          <w:highlight w:val="none"/>
        </w:rPr>
      </w:pPr>
      <w:r>
        <w:rPr>
          <w:rFonts w:hint="eastAsia" w:ascii="黑体" w:eastAsia="黑体"/>
          <w:szCs w:val="32"/>
          <w:highlight w:val="none"/>
        </w:rPr>
        <w:t>第四部分：</w:t>
      </w:r>
      <w:r>
        <w:rPr>
          <w:rFonts w:hint="eastAsia" w:ascii="黑体" w:hAnsi="宋体" w:eastAsia="黑体"/>
          <w:szCs w:val="32"/>
          <w:highlight w:val="none"/>
          <w:lang w:eastAsia="zh-CN"/>
        </w:rPr>
        <w:t>兴安县人民法院</w:t>
      </w:r>
      <w:r>
        <w:rPr>
          <w:rFonts w:hint="eastAsia" w:ascii="黑体" w:hAnsi="宋体" w:eastAsia="黑体"/>
          <w:szCs w:val="32"/>
          <w:highlight w:val="none"/>
        </w:rPr>
        <w:t>2024年</w:t>
      </w:r>
      <w:r>
        <w:rPr>
          <w:rFonts w:hint="eastAsia" w:ascii="黑体" w:eastAsia="黑体"/>
          <w:szCs w:val="32"/>
          <w:highlight w:val="none"/>
        </w:rPr>
        <w:t>部门预算报表</w:t>
      </w:r>
    </w:p>
    <w:p>
      <w:pPr>
        <w:adjustRightInd w:val="0"/>
        <w:snapToGrid w:val="0"/>
        <w:spacing w:line="586" w:lineRule="exact"/>
        <w:ind w:firstLine="470" w:firstLineChars="147"/>
        <w:rPr>
          <w:szCs w:val="32"/>
          <w:highlight w:val="none"/>
        </w:rPr>
      </w:pPr>
      <w:r>
        <w:rPr>
          <w:szCs w:val="32"/>
          <w:highlight w:val="none"/>
        </w:rPr>
        <w:t>一、部门收支总体情况表（表1）</w:t>
      </w:r>
    </w:p>
    <w:p>
      <w:pPr>
        <w:adjustRightInd w:val="0"/>
        <w:snapToGrid w:val="0"/>
        <w:spacing w:line="586" w:lineRule="exact"/>
        <w:ind w:firstLine="470" w:firstLineChars="147"/>
        <w:rPr>
          <w:szCs w:val="32"/>
          <w:highlight w:val="none"/>
        </w:rPr>
      </w:pPr>
      <w:r>
        <w:rPr>
          <w:szCs w:val="32"/>
          <w:highlight w:val="none"/>
        </w:rPr>
        <w:t>二、部门收入总体情况表（表2）</w:t>
      </w:r>
    </w:p>
    <w:p>
      <w:pPr>
        <w:adjustRightInd w:val="0"/>
        <w:snapToGrid w:val="0"/>
        <w:spacing w:line="586" w:lineRule="exact"/>
        <w:ind w:firstLine="470" w:firstLineChars="147"/>
        <w:rPr>
          <w:szCs w:val="32"/>
          <w:highlight w:val="none"/>
        </w:rPr>
      </w:pPr>
      <w:r>
        <w:rPr>
          <w:szCs w:val="32"/>
          <w:highlight w:val="none"/>
        </w:rPr>
        <w:t>三、部门支出总体情况表（表3）</w:t>
      </w:r>
    </w:p>
    <w:p>
      <w:pPr>
        <w:adjustRightInd w:val="0"/>
        <w:snapToGrid w:val="0"/>
        <w:spacing w:line="586" w:lineRule="exact"/>
        <w:ind w:firstLine="470" w:firstLineChars="147"/>
        <w:rPr>
          <w:szCs w:val="32"/>
          <w:highlight w:val="none"/>
        </w:rPr>
      </w:pPr>
      <w:r>
        <w:rPr>
          <w:szCs w:val="32"/>
          <w:highlight w:val="none"/>
        </w:rPr>
        <w:t>四、财政拨款收支总体情况表（表4）</w:t>
      </w:r>
    </w:p>
    <w:p>
      <w:pPr>
        <w:adjustRightInd w:val="0"/>
        <w:snapToGrid w:val="0"/>
        <w:spacing w:line="586" w:lineRule="exact"/>
        <w:ind w:firstLine="470" w:firstLineChars="147"/>
        <w:rPr>
          <w:szCs w:val="32"/>
          <w:highlight w:val="none"/>
        </w:rPr>
      </w:pPr>
      <w:r>
        <w:rPr>
          <w:szCs w:val="32"/>
          <w:highlight w:val="none"/>
        </w:rPr>
        <w:t>五、一般公共预算支出情况表（表5）</w:t>
      </w:r>
    </w:p>
    <w:p>
      <w:pPr>
        <w:adjustRightInd w:val="0"/>
        <w:snapToGrid w:val="0"/>
        <w:spacing w:line="586" w:lineRule="exact"/>
        <w:ind w:firstLine="470" w:firstLineChars="147"/>
        <w:rPr>
          <w:szCs w:val="32"/>
          <w:highlight w:val="none"/>
        </w:rPr>
      </w:pPr>
      <w:r>
        <w:rPr>
          <w:szCs w:val="32"/>
          <w:highlight w:val="none"/>
        </w:rPr>
        <w:t>六、一般公共预算基本支出情况表（表6）</w:t>
      </w:r>
    </w:p>
    <w:p>
      <w:pPr>
        <w:adjustRightInd w:val="0"/>
        <w:snapToGrid w:val="0"/>
        <w:spacing w:line="586" w:lineRule="exact"/>
        <w:ind w:firstLine="470" w:firstLineChars="147"/>
        <w:rPr>
          <w:szCs w:val="32"/>
          <w:highlight w:val="none"/>
        </w:rPr>
      </w:pPr>
      <w:r>
        <w:rPr>
          <w:szCs w:val="32"/>
          <w:highlight w:val="none"/>
        </w:rPr>
        <w:t>七、一般公共预算“三公”经费支出情况表（表7）</w:t>
      </w:r>
    </w:p>
    <w:p>
      <w:pPr>
        <w:adjustRightInd w:val="0"/>
        <w:snapToGrid w:val="0"/>
        <w:spacing w:line="586" w:lineRule="exact"/>
        <w:ind w:firstLine="470" w:firstLineChars="147"/>
        <w:rPr>
          <w:szCs w:val="32"/>
          <w:highlight w:val="none"/>
        </w:rPr>
      </w:pPr>
      <w:r>
        <w:rPr>
          <w:szCs w:val="32"/>
          <w:highlight w:val="none"/>
        </w:rPr>
        <w:t>八、政府性基金预算支出情况表（表8）</w:t>
      </w:r>
    </w:p>
    <w:p>
      <w:pPr>
        <w:adjustRightInd w:val="0"/>
        <w:snapToGrid w:val="0"/>
        <w:spacing w:line="586" w:lineRule="exact"/>
        <w:ind w:firstLine="470" w:firstLineChars="147"/>
        <w:rPr>
          <w:szCs w:val="32"/>
          <w:highlight w:val="none"/>
        </w:rPr>
      </w:pPr>
      <w:r>
        <w:rPr>
          <w:szCs w:val="32"/>
          <w:highlight w:val="none"/>
        </w:rPr>
        <w:t>九、国有资本经营预算支出表（表9）</w:t>
      </w:r>
    </w:p>
    <w:p>
      <w:pPr>
        <w:adjustRightInd w:val="0"/>
        <w:snapToGrid w:val="0"/>
        <w:spacing w:line="586" w:lineRule="exact"/>
        <w:ind w:firstLine="470" w:firstLineChars="147"/>
        <w:rPr>
          <w:szCs w:val="32"/>
          <w:highlight w:val="none"/>
        </w:rPr>
      </w:pPr>
      <w:r>
        <w:rPr>
          <w:szCs w:val="32"/>
          <w:highlight w:val="none"/>
        </w:rPr>
        <w:t>十、政府采购预算表（表10）</w:t>
      </w:r>
    </w:p>
    <w:p>
      <w:pPr>
        <w:adjustRightInd w:val="0"/>
        <w:snapToGrid w:val="0"/>
        <w:spacing w:line="586" w:lineRule="exact"/>
        <w:ind w:firstLine="470" w:firstLineChars="147"/>
        <w:rPr>
          <w:szCs w:val="32"/>
          <w:highlight w:val="none"/>
        </w:rPr>
      </w:pPr>
      <w:r>
        <w:rPr>
          <w:szCs w:val="32"/>
          <w:highlight w:val="none"/>
        </w:rPr>
        <w:t>十一、部门预算支出经济分类表（表11）</w:t>
      </w:r>
    </w:p>
    <w:p>
      <w:pPr>
        <w:adjustRightInd w:val="0"/>
        <w:snapToGrid w:val="0"/>
        <w:spacing w:line="586" w:lineRule="exact"/>
        <w:ind w:firstLine="470" w:firstLineChars="147"/>
        <w:rPr>
          <w:szCs w:val="32"/>
          <w:highlight w:val="none"/>
        </w:rPr>
      </w:pPr>
      <w:r>
        <w:rPr>
          <w:szCs w:val="32"/>
          <w:highlight w:val="none"/>
        </w:rPr>
        <w:t>十二、政府预算支出经济分类表（表12）</w:t>
      </w:r>
    </w:p>
    <w:p>
      <w:pPr>
        <w:adjustRightInd w:val="0"/>
        <w:snapToGrid w:val="0"/>
        <w:spacing w:line="586" w:lineRule="exact"/>
        <w:ind w:firstLine="470" w:firstLineChars="147"/>
        <w:rPr>
          <w:szCs w:val="32"/>
          <w:highlight w:val="none"/>
        </w:rPr>
      </w:pPr>
      <w:r>
        <w:rPr>
          <w:rFonts w:hint="eastAsia"/>
          <w:szCs w:val="32"/>
          <w:highlight w:val="none"/>
        </w:rPr>
        <w:t>十三、项目支出（部门预算）绩效目标申报表（表13）</w:t>
      </w:r>
    </w:p>
    <w:p>
      <w:pPr>
        <w:spacing w:line="586" w:lineRule="exact"/>
        <w:ind w:firstLine="470" w:firstLineChars="147"/>
        <w:rPr>
          <w:rFonts w:eastAsia="黑体"/>
          <w:szCs w:val="32"/>
          <w:highlight w:val="none"/>
        </w:rPr>
      </w:pPr>
      <w:r>
        <w:rPr>
          <w:rFonts w:hAnsi="黑体" w:eastAsia="黑体"/>
          <w:szCs w:val="32"/>
          <w:highlight w:val="none"/>
        </w:rPr>
        <w:t>上述报表详见附件。</w:t>
      </w:r>
    </w:p>
    <w:p>
      <w:pPr>
        <w:autoSpaceDE w:val="0"/>
        <w:autoSpaceDN w:val="0"/>
        <w:adjustRightInd w:val="0"/>
        <w:spacing w:line="586" w:lineRule="exact"/>
        <w:ind w:left="-224" w:leftChars="-70" w:firstLine="626" w:firstLineChars="195"/>
        <w:rPr>
          <w:highlight w:val="none"/>
        </w:rPr>
      </w:pPr>
      <w:r>
        <w:rPr>
          <w:rFonts w:hint="eastAsia"/>
          <w:b/>
          <w:szCs w:val="32"/>
          <w:highlight w:val="none"/>
        </w:rPr>
        <w:t>附件.</w:t>
      </w:r>
      <w:r>
        <w:rPr>
          <w:rFonts w:hint="eastAsia" w:ascii="黑体" w:hAnsi="宋体" w:eastAsia="黑体"/>
          <w:szCs w:val="32"/>
          <w:highlight w:val="none"/>
        </w:rPr>
        <w:t xml:space="preserve"> </w:t>
      </w:r>
      <w:r>
        <w:rPr>
          <w:rFonts w:hint="eastAsia" w:eastAsia="黑体"/>
          <w:b/>
          <w:szCs w:val="32"/>
          <w:highlight w:val="none"/>
          <w:lang w:eastAsia="zh-CN"/>
        </w:rPr>
        <w:t>兴安县人民法院预算报表（财政审核）（桂林市本级预算公开表）.xls</w:t>
      </w:r>
    </w:p>
    <w:bookmarkEnd w:id="0"/>
    <w:sectPr>
      <w:footerReference r:id="rId3" w:type="default"/>
      <w:footerReference r:id="rId4" w:type="even"/>
      <w:pgSz w:w="11906" w:h="16838"/>
      <w:pgMar w:top="2098" w:right="1417" w:bottom="1984" w:left="1587" w:header="851" w:footer="992" w:gutter="0"/>
      <w:pgNumType w:fmt="decimal"/>
      <w:cols w:space="720" w:num="1"/>
      <w:docGrid w:type="lines" w:linePitch="634" w:charSpace="-21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8</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Style w:val="9"/>
                              <w:rFonts w:hint="eastAsia" w:ascii="宋体" w:hAnsi="宋体" w:eastAsia="宋体" w:cs="宋体"/>
                              <w:sz w:val="32"/>
                              <w:szCs w:val="32"/>
                              <w:lang w:val="en-US" w:eastAsia="zh-CN"/>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Ps5vjrgEAAEsD&#10;AAAOAAAAAAAAAAEAIAAAAB4BAABkcnMvZTJvRG9jLnhtbFBLBQYAAAAABgAGAFkBAAA+BQAAAAA=&#10;">
              <v:fill on="f" focussize="0,0"/>
              <v:stroke on="f"/>
              <v:imagedata o:title=""/>
              <o:lock v:ext="edit" aspectratio="f"/>
              <v:textbox inset="0mm,0mm,0mm,0mm" style="mso-fit-shape-to-text:t;">
                <w:txbxContent>
                  <w:p>
                    <w:pPr>
                      <w:pStyle w:val="5"/>
                      <w:rPr>
                        <w:rStyle w:val="9"/>
                        <w:rFonts w:hint="eastAsia" w:ascii="宋体" w:hAnsi="宋体" w:eastAsia="宋体" w:cs="宋体"/>
                        <w:sz w:val="32"/>
                        <w:szCs w:val="32"/>
                        <w:lang w:val="en-US"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mMWRiMDYzNmIxMGI3M2NkN2YyZWNkYzhjYzUyN2MifQ=="/>
  </w:docVars>
  <w:rsids>
    <w:rsidRoot w:val="000E2B2E"/>
    <w:rsid w:val="000C60AF"/>
    <w:rsid w:val="000E2B2E"/>
    <w:rsid w:val="00102F95"/>
    <w:rsid w:val="001B7549"/>
    <w:rsid w:val="003B2BBE"/>
    <w:rsid w:val="003E0B0B"/>
    <w:rsid w:val="004837C3"/>
    <w:rsid w:val="004C201E"/>
    <w:rsid w:val="0053713A"/>
    <w:rsid w:val="00656D84"/>
    <w:rsid w:val="006B3BA0"/>
    <w:rsid w:val="007035D5"/>
    <w:rsid w:val="007657B9"/>
    <w:rsid w:val="007C4397"/>
    <w:rsid w:val="00884219"/>
    <w:rsid w:val="0095006D"/>
    <w:rsid w:val="009D29CA"/>
    <w:rsid w:val="009E1B9E"/>
    <w:rsid w:val="00A15268"/>
    <w:rsid w:val="00B638D3"/>
    <w:rsid w:val="00C20C21"/>
    <w:rsid w:val="00C42C76"/>
    <w:rsid w:val="00CB286B"/>
    <w:rsid w:val="00CD21AA"/>
    <w:rsid w:val="00E05C87"/>
    <w:rsid w:val="00E72012"/>
    <w:rsid w:val="00EF53DF"/>
    <w:rsid w:val="00FB73E3"/>
    <w:rsid w:val="02A6248C"/>
    <w:rsid w:val="083E3870"/>
    <w:rsid w:val="121F3FD7"/>
    <w:rsid w:val="17654312"/>
    <w:rsid w:val="1963359E"/>
    <w:rsid w:val="1BE02D03"/>
    <w:rsid w:val="1D151EAF"/>
    <w:rsid w:val="1D8D41A7"/>
    <w:rsid w:val="1FF454E9"/>
    <w:rsid w:val="267728FE"/>
    <w:rsid w:val="2B3D5DB9"/>
    <w:rsid w:val="2F06432F"/>
    <w:rsid w:val="32B21AC0"/>
    <w:rsid w:val="3B0A6C0E"/>
    <w:rsid w:val="3CA578A6"/>
    <w:rsid w:val="3F170F3C"/>
    <w:rsid w:val="41B67A8F"/>
    <w:rsid w:val="43F72EE5"/>
    <w:rsid w:val="44366823"/>
    <w:rsid w:val="49382237"/>
    <w:rsid w:val="4B2101E4"/>
    <w:rsid w:val="4D1D5961"/>
    <w:rsid w:val="524C675B"/>
    <w:rsid w:val="57962B9D"/>
    <w:rsid w:val="5CBC2F38"/>
    <w:rsid w:val="614C34D0"/>
    <w:rsid w:val="647678B4"/>
    <w:rsid w:val="6F73078C"/>
    <w:rsid w:val="74182D7C"/>
    <w:rsid w:val="74830E88"/>
    <w:rsid w:val="759F20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qFormat/>
    <w:uiPriority w:val="0"/>
    <w:pPr>
      <w:spacing w:line="380" w:lineRule="exact"/>
    </w:pPr>
    <w:rPr>
      <w:sz w:val="24"/>
    </w:rPr>
  </w:style>
  <w:style w:type="paragraph" w:styleId="3">
    <w:name w:val="Body Text Indent"/>
    <w:basedOn w:val="1"/>
    <w:link w:val="13"/>
    <w:qFormat/>
    <w:uiPriority w:val="0"/>
    <w:pPr>
      <w:spacing w:after="120"/>
      <w:ind w:left="420" w:leftChars="200"/>
    </w:pPr>
  </w:style>
  <w:style w:type="paragraph" w:styleId="4">
    <w:name w:val="Plain Text"/>
    <w:basedOn w:val="1"/>
    <w:qFormat/>
    <w:uiPriority w:val="0"/>
    <w:rPr>
      <w:rFonts w:ascii="宋体" w:hAnsi="Courier New" w:cs="Courier New"/>
      <w:szCs w:val="21"/>
    </w:rPr>
  </w:style>
  <w:style w:type="paragraph" w:styleId="5">
    <w:name w:val="footer"/>
    <w:basedOn w:val="1"/>
    <w:link w:val="12"/>
    <w:unhideWhenUsed/>
    <w:qFormat/>
    <w:uiPriority w:val="0"/>
    <w:pPr>
      <w:tabs>
        <w:tab w:val="center" w:pos="4153"/>
        <w:tab w:val="right" w:pos="8306"/>
      </w:tabs>
      <w:snapToGrid w:val="0"/>
      <w:jc w:val="left"/>
    </w:pPr>
    <w:rPr>
      <w:sz w:val="18"/>
      <w:szCs w:val="18"/>
    </w:rPr>
  </w:style>
  <w:style w:type="paragraph" w:styleId="6">
    <w:name w:val="Body Text First Indent 2"/>
    <w:basedOn w:val="3"/>
    <w:qFormat/>
    <w:uiPriority w:val="0"/>
    <w:pPr>
      <w:spacing w:before="100" w:beforeAutospacing="1"/>
      <w:ind w:firstLine="420" w:firstLineChars="200"/>
    </w:pPr>
  </w:style>
  <w:style w:type="paragraph" w:styleId="7">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rPr>
      <w:rFonts w:ascii="Times New Roman" w:hAnsi="Times New Roman" w:eastAsia="宋体" w:cs="Times New Roman"/>
    </w:rPr>
  </w:style>
  <w:style w:type="character" w:customStyle="1" w:styleId="11">
    <w:name w:val="页眉 Char"/>
    <w:basedOn w:val="8"/>
    <w:link w:val="7"/>
    <w:semiHidden/>
    <w:qFormat/>
    <w:uiPriority w:val="99"/>
    <w:rPr>
      <w:sz w:val="18"/>
      <w:szCs w:val="18"/>
    </w:rPr>
  </w:style>
  <w:style w:type="character" w:customStyle="1" w:styleId="12">
    <w:name w:val="页脚 Char"/>
    <w:basedOn w:val="8"/>
    <w:link w:val="5"/>
    <w:semiHidden/>
    <w:qFormat/>
    <w:uiPriority w:val="99"/>
    <w:rPr>
      <w:sz w:val="18"/>
      <w:szCs w:val="18"/>
    </w:rPr>
  </w:style>
  <w:style w:type="character" w:customStyle="1" w:styleId="13">
    <w:name w:val="正文文本缩进 Char"/>
    <w:link w:val="3"/>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648</Words>
  <Characters>3694</Characters>
  <Lines>30</Lines>
  <Paragraphs>8</Paragraphs>
  <TotalTime>75</TotalTime>
  <ScaleCrop>false</ScaleCrop>
  <LinksUpToDate>false</LinksUpToDate>
  <CharactersWithSpaces>4334</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2024-02-28T07:42:00Z</dcterms:created>
  <dc:creator>夏候飞</dc:creator>
  <cp:lastModifiedBy>Administrator</cp:lastModifiedBy>
  <dcterms:modified xsi:type="dcterms:W3CDTF">2024-03-22T07:37:16Z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y fmtid="{D5CDD505-2E9C-101B-9397-08002B2CF9AE}" pid="3" name="ICV">
    <vt:lpwstr>B2D6C969ED4041AAB7480E7A8B944E47_13</vt:lpwstr>
  </property>
</Properties>
</file>