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right="-333" w:rightChars="-104"/>
        <w:jc w:val="center"/>
        <w:rPr>
          <w:rFonts w:ascii="黑体" w:hAnsi="宋体" w:eastAsia="黑体"/>
          <w:bCs/>
          <w:szCs w:val="32"/>
          <w:highlight w:val="none"/>
        </w:rPr>
      </w:pPr>
      <w:r>
        <w:rPr>
          <w:rFonts w:hint="eastAsia" w:ascii="方正小标宋简体" w:eastAsia="方正小标宋简体"/>
          <w:sz w:val="44"/>
          <w:szCs w:val="44"/>
          <w:highlight w:val="none"/>
          <w:lang w:eastAsia="zh-CN"/>
        </w:rPr>
        <w:t>资源县人民法院</w:t>
      </w:r>
      <w:r>
        <w:rPr>
          <w:rFonts w:hint="eastAsia" w:ascii="方正小标宋简体" w:eastAsia="方正小标宋简体"/>
          <w:sz w:val="44"/>
          <w:szCs w:val="44"/>
          <w:highlight w:val="none"/>
        </w:rPr>
        <w:t>2024年部门预算公开说明</w:t>
      </w:r>
    </w:p>
    <w:p>
      <w:pPr>
        <w:adjustRightInd w:val="0"/>
        <w:snapToGrid w:val="0"/>
        <w:spacing w:line="560" w:lineRule="exact"/>
        <w:ind w:right="-333" w:rightChars="-104"/>
        <w:jc w:val="center"/>
        <w:rPr>
          <w:rFonts w:ascii="黑体" w:hAnsi="宋体" w:eastAsia="黑体"/>
          <w:bCs/>
          <w:szCs w:val="32"/>
          <w:highlight w:val="none"/>
        </w:rPr>
      </w:pPr>
    </w:p>
    <w:p>
      <w:pPr>
        <w:adjustRightInd w:val="0"/>
        <w:snapToGrid w:val="0"/>
        <w:spacing w:line="560" w:lineRule="exact"/>
        <w:ind w:right="-333" w:rightChars="-104"/>
        <w:jc w:val="center"/>
        <w:rPr>
          <w:rFonts w:ascii="黑体" w:hAnsi="宋体" w:eastAsia="黑体"/>
          <w:bCs/>
          <w:szCs w:val="32"/>
          <w:highlight w:val="none"/>
        </w:rPr>
      </w:pPr>
      <w:r>
        <w:rPr>
          <w:rFonts w:hint="eastAsia" w:ascii="黑体" w:hAnsi="宋体" w:eastAsia="黑体"/>
          <w:bCs/>
          <w:szCs w:val="32"/>
          <w:highlight w:val="none"/>
        </w:rPr>
        <w:t>目  录</w:t>
      </w:r>
    </w:p>
    <w:p>
      <w:pPr>
        <w:adjustRightInd w:val="0"/>
        <w:snapToGrid w:val="0"/>
        <w:spacing w:line="560" w:lineRule="exact"/>
        <w:ind w:right="-333" w:rightChars="-104" w:firstLine="640" w:firstLineChars="200"/>
        <w:rPr>
          <w:rFonts w:ascii="黑体" w:hAnsi="宋体" w:eastAsia="黑体"/>
          <w:bCs/>
          <w:szCs w:val="32"/>
          <w:highlight w:val="none"/>
        </w:rPr>
      </w:pPr>
    </w:p>
    <w:p>
      <w:pPr>
        <w:adjustRightInd w:val="0"/>
        <w:snapToGrid w:val="0"/>
        <w:spacing w:line="560" w:lineRule="exact"/>
        <w:ind w:right="-333" w:rightChars="-104" w:firstLine="640" w:firstLineChars="200"/>
        <w:rPr>
          <w:rFonts w:ascii="黑体" w:hAnsi="宋体" w:eastAsia="黑体"/>
          <w:bCs/>
          <w:szCs w:val="32"/>
          <w:highlight w:val="none"/>
        </w:rPr>
      </w:pPr>
      <w:r>
        <w:rPr>
          <w:rFonts w:hint="eastAsia" w:ascii="黑体" w:hAnsi="宋体" w:eastAsia="黑体"/>
          <w:bCs/>
          <w:szCs w:val="32"/>
          <w:highlight w:val="none"/>
        </w:rPr>
        <w:t>第一部分：部门概况</w:t>
      </w:r>
    </w:p>
    <w:p>
      <w:pPr>
        <w:spacing w:line="600" w:lineRule="exact"/>
        <w:ind w:firstLine="640" w:firstLineChars="200"/>
        <w:rPr>
          <w:rFonts w:hint="eastAsia"/>
          <w:szCs w:val="32"/>
          <w:highlight w:val="none"/>
        </w:rPr>
      </w:pPr>
      <w:r>
        <w:rPr>
          <w:rFonts w:hint="eastAsia"/>
          <w:szCs w:val="32"/>
          <w:highlight w:val="none"/>
        </w:rPr>
        <w:t>一、主要职责</w:t>
      </w:r>
    </w:p>
    <w:p>
      <w:pPr>
        <w:spacing w:line="600" w:lineRule="exact"/>
        <w:ind w:firstLine="640" w:firstLineChars="200"/>
        <w:rPr>
          <w:rFonts w:hint="eastAsia"/>
          <w:szCs w:val="32"/>
          <w:highlight w:val="none"/>
        </w:rPr>
      </w:pPr>
      <w:r>
        <w:rPr>
          <w:rFonts w:hint="eastAsia"/>
          <w:szCs w:val="32"/>
          <w:highlight w:val="none"/>
        </w:rPr>
        <w:t>二、机构设置情况</w:t>
      </w:r>
    </w:p>
    <w:p>
      <w:pPr>
        <w:adjustRightInd w:val="0"/>
        <w:snapToGrid w:val="0"/>
        <w:spacing w:line="560" w:lineRule="exact"/>
        <w:ind w:right="-333" w:rightChars="-104" w:firstLine="640" w:firstLineChars="200"/>
        <w:rPr>
          <w:rFonts w:ascii="黑体" w:hAnsi="宋体" w:eastAsia="黑体"/>
          <w:bCs/>
          <w:szCs w:val="32"/>
          <w:highlight w:val="none"/>
        </w:rPr>
      </w:pPr>
      <w:r>
        <w:rPr>
          <w:rFonts w:hint="eastAsia" w:ascii="黑体" w:eastAsia="黑体"/>
          <w:szCs w:val="32"/>
          <w:highlight w:val="none"/>
        </w:rPr>
        <w:t>第二部分：</w:t>
      </w:r>
      <w:r>
        <w:rPr>
          <w:rFonts w:hint="eastAsia" w:ascii="黑体" w:hAnsi="宋体" w:eastAsia="黑体"/>
          <w:szCs w:val="32"/>
          <w:highlight w:val="none"/>
        </w:rPr>
        <w:t xml:space="preserve"> 2024年</w:t>
      </w:r>
      <w:r>
        <w:rPr>
          <w:rFonts w:hint="eastAsia" w:ascii="黑体" w:eastAsia="黑体"/>
          <w:szCs w:val="32"/>
          <w:highlight w:val="none"/>
        </w:rPr>
        <w:t>部门预算情况说明</w:t>
      </w:r>
    </w:p>
    <w:p>
      <w:pPr>
        <w:spacing w:line="600" w:lineRule="exact"/>
        <w:ind w:firstLine="640" w:firstLineChars="200"/>
        <w:rPr>
          <w:rFonts w:hint="eastAsia"/>
          <w:szCs w:val="32"/>
          <w:highlight w:val="none"/>
        </w:rPr>
      </w:pPr>
      <w:r>
        <w:rPr>
          <w:rFonts w:hint="eastAsia"/>
          <w:szCs w:val="32"/>
          <w:highlight w:val="none"/>
        </w:rPr>
        <w:t>一、部门收支总体情况说明</w:t>
      </w:r>
    </w:p>
    <w:p>
      <w:pPr>
        <w:spacing w:line="600" w:lineRule="exact"/>
        <w:ind w:firstLine="640" w:firstLineChars="200"/>
        <w:rPr>
          <w:rFonts w:hint="eastAsia"/>
          <w:szCs w:val="32"/>
          <w:highlight w:val="none"/>
        </w:rPr>
      </w:pPr>
      <w:r>
        <w:rPr>
          <w:rFonts w:hint="eastAsia"/>
          <w:szCs w:val="32"/>
          <w:highlight w:val="none"/>
        </w:rPr>
        <w:t>二、部门收入总体情况说明</w:t>
      </w:r>
    </w:p>
    <w:p>
      <w:pPr>
        <w:spacing w:line="600" w:lineRule="exact"/>
        <w:ind w:firstLine="640" w:firstLineChars="200"/>
        <w:rPr>
          <w:rFonts w:hint="eastAsia"/>
          <w:szCs w:val="32"/>
          <w:highlight w:val="none"/>
        </w:rPr>
      </w:pPr>
      <w:r>
        <w:rPr>
          <w:rFonts w:hint="eastAsia"/>
          <w:szCs w:val="32"/>
          <w:highlight w:val="none"/>
        </w:rPr>
        <w:t>三、部门支出总体情况说明</w:t>
      </w:r>
    </w:p>
    <w:p>
      <w:pPr>
        <w:spacing w:line="600" w:lineRule="exact"/>
        <w:ind w:firstLine="640" w:firstLineChars="200"/>
        <w:rPr>
          <w:rFonts w:hint="eastAsia"/>
          <w:szCs w:val="32"/>
          <w:highlight w:val="none"/>
        </w:rPr>
      </w:pPr>
      <w:r>
        <w:rPr>
          <w:rFonts w:hint="eastAsia"/>
          <w:szCs w:val="32"/>
          <w:highlight w:val="none"/>
        </w:rPr>
        <w:t>四、财政拨款收支总体情况说明</w:t>
      </w:r>
    </w:p>
    <w:p>
      <w:pPr>
        <w:spacing w:line="600" w:lineRule="exact"/>
        <w:ind w:firstLine="640" w:firstLineChars="200"/>
        <w:rPr>
          <w:rFonts w:hint="eastAsia"/>
          <w:szCs w:val="32"/>
          <w:highlight w:val="none"/>
        </w:rPr>
      </w:pPr>
      <w:r>
        <w:rPr>
          <w:rFonts w:hint="eastAsia"/>
          <w:szCs w:val="32"/>
          <w:highlight w:val="none"/>
        </w:rPr>
        <w:t>五、一般公共预算支出情况说明</w:t>
      </w:r>
    </w:p>
    <w:p>
      <w:pPr>
        <w:spacing w:line="600" w:lineRule="exact"/>
        <w:ind w:firstLine="640" w:firstLineChars="200"/>
        <w:rPr>
          <w:rFonts w:hint="eastAsia"/>
          <w:szCs w:val="32"/>
          <w:highlight w:val="none"/>
        </w:rPr>
      </w:pPr>
      <w:r>
        <w:rPr>
          <w:rFonts w:hint="eastAsia"/>
          <w:szCs w:val="32"/>
          <w:highlight w:val="none"/>
        </w:rPr>
        <w:t>六、一般公共预算基本支出情况说明</w:t>
      </w:r>
    </w:p>
    <w:p>
      <w:pPr>
        <w:spacing w:line="600" w:lineRule="exact"/>
        <w:ind w:firstLine="640" w:firstLineChars="200"/>
        <w:rPr>
          <w:rFonts w:hint="eastAsia"/>
          <w:szCs w:val="32"/>
          <w:highlight w:val="none"/>
        </w:rPr>
      </w:pPr>
      <w:r>
        <w:rPr>
          <w:rFonts w:hint="eastAsia"/>
          <w:szCs w:val="32"/>
          <w:highlight w:val="none"/>
        </w:rPr>
        <w:t>七、一般公共预算</w:t>
      </w:r>
      <w:r>
        <w:rPr>
          <w:rFonts w:hint="default"/>
          <w:szCs w:val="32"/>
          <w:highlight w:val="none"/>
        </w:rPr>
        <w:t>“</w:t>
      </w:r>
      <w:r>
        <w:rPr>
          <w:rFonts w:hint="eastAsia"/>
          <w:szCs w:val="32"/>
          <w:highlight w:val="none"/>
        </w:rPr>
        <w:t>三公</w:t>
      </w:r>
      <w:r>
        <w:rPr>
          <w:rFonts w:hint="default"/>
          <w:szCs w:val="32"/>
          <w:highlight w:val="none"/>
        </w:rPr>
        <w:t>”</w:t>
      </w:r>
      <w:r>
        <w:rPr>
          <w:rFonts w:hint="eastAsia"/>
          <w:szCs w:val="32"/>
          <w:highlight w:val="none"/>
        </w:rPr>
        <w:t>经费支出情况说明</w:t>
      </w:r>
    </w:p>
    <w:p>
      <w:pPr>
        <w:spacing w:line="600" w:lineRule="exact"/>
        <w:ind w:firstLine="640" w:firstLineChars="200"/>
        <w:rPr>
          <w:rFonts w:hint="eastAsia"/>
          <w:szCs w:val="32"/>
          <w:highlight w:val="none"/>
        </w:rPr>
      </w:pPr>
      <w:r>
        <w:rPr>
          <w:rFonts w:hint="eastAsia"/>
          <w:szCs w:val="32"/>
          <w:highlight w:val="none"/>
        </w:rPr>
        <w:t>八、政府性基金预算支出情况说明</w:t>
      </w:r>
    </w:p>
    <w:p>
      <w:pPr>
        <w:spacing w:line="600" w:lineRule="exact"/>
        <w:ind w:firstLine="640" w:firstLineChars="200"/>
        <w:rPr>
          <w:rFonts w:hint="eastAsia"/>
          <w:szCs w:val="32"/>
          <w:highlight w:val="none"/>
        </w:rPr>
      </w:pPr>
      <w:r>
        <w:rPr>
          <w:rFonts w:hint="eastAsia"/>
          <w:szCs w:val="32"/>
          <w:highlight w:val="none"/>
        </w:rPr>
        <w:t>九、国有资本经营预算支出情况说明</w:t>
      </w:r>
    </w:p>
    <w:p>
      <w:pPr>
        <w:spacing w:line="600" w:lineRule="exact"/>
        <w:ind w:firstLine="640" w:firstLineChars="200"/>
        <w:rPr>
          <w:rFonts w:ascii="黑体" w:hAnsi="宋体" w:eastAsia="黑体"/>
          <w:bCs/>
          <w:szCs w:val="32"/>
          <w:highlight w:val="none"/>
        </w:rPr>
      </w:pPr>
      <w:r>
        <w:rPr>
          <w:rFonts w:hint="eastAsia"/>
          <w:szCs w:val="32"/>
          <w:highlight w:val="none"/>
        </w:rPr>
        <w:t>十、其他重要事项情况说明</w:t>
      </w:r>
    </w:p>
    <w:p>
      <w:pPr>
        <w:adjustRightInd w:val="0"/>
        <w:snapToGrid w:val="0"/>
        <w:spacing w:line="560" w:lineRule="exact"/>
        <w:ind w:right="-333" w:rightChars="-104" w:firstLine="640" w:firstLineChars="200"/>
        <w:rPr>
          <w:rFonts w:ascii="黑体" w:hAnsi="宋体" w:eastAsia="黑体"/>
          <w:bCs/>
          <w:szCs w:val="32"/>
          <w:highlight w:val="none"/>
        </w:rPr>
      </w:pPr>
      <w:r>
        <w:rPr>
          <w:rFonts w:hint="eastAsia" w:ascii="黑体" w:eastAsia="黑体"/>
          <w:szCs w:val="32"/>
          <w:highlight w:val="none"/>
        </w:rPr>
        <w:t>第三部分：名词解释</w:t>
      </w:r>
    </w:p>
    <w:p>
      <w:pPr>
        <w:adjustRightInd w:val="0"/>
        <w:snapToGrid w:val="0"/>
        <w:spacing w:line="560" w:lineRule="exact"/>
        <w:ind w:right="-333" w:rightChars="-104" w:firstLine="640" w:firstLineChars="200"/>
        <w:rPr>
          <w:rFonts w:ascii="黑体" w:hAnsi="宋体" w:eastAsia="黑体"/>
          <w:bCs/>
          <w:szCs w:val="32"/>
          <w:highlight w:val="none"/>
        </w:rPr>
      </w:pPr>
      <w:r>
        <w:rPr>
          <w:rFonts w:hint="eastAsia" w:ascii="黑体" w:hAnsi="宋体" w:eastAsia="黑体"/>
          <w:bCs/>
          <w:szCs w:val="32"/>
          <w:highlight w:val="none"/>
        </w:rPr>
        <w:t>第四部分：</w:t>
      </w:r>
      <w:r>
        <w:rPr>
          <w:rFonts w:hint="eastAsia" w:ascii="黑体" w:hAnsi="宋体" w:eastAsia="黑体"/>
          <w:szCs w:val="32"/>
          <w:highlight w:val="none"/>
        </w:rPr>
        <w:t xml:space="preserve"> 2024年</w:t>
      </w:r>
      <w:r>
        <w:rPr>
          <w:rFonts w:hint="eastAsia" w:ascii="黑体" w:eastAsia="黑体"/>
          <w:szCs w:val="32"/>
          <w:highlight w:val="none"/>
        </w:rPr>
        <w:t>部门预算报表</w:t>
      </w:r>
    </w:p>
    <w:p>
      <w:pPr>
        <w:spacing w:line="600" w:lineRule="exact"/>
        <w:ind w:firstLine="640" w:firstLineChars="200"/>
        <w:rPr>
          <w:rFonts w:hint="eastAsia"/>
          <w:szCs w:val="32"/>
          <w:highlight w:val="none"/>
        </w:rPr>
      </w:pPr>
      <w:r>
        <w:rPr>
          <w:rFonts w:hint="eastAsia"/>
          <w:szCs w:val="32"/>
          <w:highlight w:val="none"/>
        </w:rPr>
        <w:t>一、部门收支总体情况表（表</w:t>
      </w:r>
      <w:r>
        <w:rPr>
          <w:rFonts w:hint="default"/>
          <w:szCs w:val="32"/>
          <w:highlight w:val="none"/>
        </w:rPr>
        <w:t>1</w:t>
      </w:r>
      <w:r>
        <w:rPr>
          <w:rFonts w:hint="eastAsia"/>
          <w:szCs w:val="32"/>
          <w:highlight w:val="none"/>
        </w:rPr>
        <w:t>）</w:t>
      </w:r>
    </w:p>
    <w:p>
      <w:pPr>
        <w:spacing w:line="600" w:lineRule="exact"/>
        <w:ind w:firstLine="640" w:firstLineChars="200"/>
        <w:rPr>
          <w:rFonts w:hint="eastAsia"/>
          <w:szCs w:val="32"/>
          <w:highlight w:val="none"/>
        </w:rPr>
        <w:sectPr>
          <w:footerReference r:id="rId3" w:type="even"/>
          <w:pgSz w:w="11906" w:h="16838"/>
          <w:pgMar w:top="2098" w:right="1417" w:bottom="1984" w:left="1587" w:header="851" w:footer="992" w:gutter="0"/>
          <w:pgNumType w:start="8"/>
          <w:cols w:space="720" w:num="1"/>
          <w:docGrid w:type="lines" w:linePitch="634" w:charSpace="-2109"/>
        </w:sectPr>
      </w:pPr>
    </w:p>
    <w:p>
      <w:pPr>
        <w:spacing w:line="600" w:lineRule="exact"/>
        <w:ind w:firstLine="640" w:firstLineChars="200"/>
        <w:rPr>
          <w:rFonts w:hint="eastAsia"/>
          <w:szCs w:val="32"/>
          <w:highlight w:val="none"/>
        </w:rPr>
      </w:pPr>
      <w:r>
        <w:rPr>
          <w:rFonts w:hint="eastAsia"/>
          <w:szCs w:val="32"/>
          <w:highlight w:val="none"/>
        </w:rPr>
        <w:t>二、部门收入总体情况表（表</w:t>
      </w:r>
      <w:r>
        <w:rPr>
          <w:rFonts w:hint="default"/>
          <w:szCs w:val="32"/>
          <w:highlight w:val="none"/>
        </w:rPr>
        <w:t>2</w:t>
      </w:r>
      <w:r>
        <w:rPr>
          <w:rFonts w:hint="eastAsia"/>
          <w:szCs w:val="32"/>
          <w:highlight w:val="none"/>
        </w:rPr>
        <w:t>）</w:t>
      </w:r>
    </w:p>
    <w:p>
      <w:pPr>
        <w:spacing w:line="600" w:lineRule="exact"/>
        <w:ind w:firstLine="640" w:firstLineChars="200"/>
        <w:rPr>
          <w:rFonts w:hint="eastAsia"/>
          <w:szCs w:val="32"/>
          <w:highlight w:val="none"/>
        </w:rPr>
      </w:pPr>
      <w:r>
        <w:rPr>
          <w:rFonts w:hint="eastAsia"/>
          <w:szCs w:val="32"/>
          <w:highlight w:val="none"/>
        </w:rPr>
        <w:t>三、部门支出总体情况表（表</w:t>
      </w:r>
      <w:r>
        <w:rPr>
          <w:rFonts w:hint="default"/>
          <w:szCs w:val="32"/>
          <w:highlight w:val="none"/>
        </w:rPr>
        <w:t>3</w:t>
      </w:r>
      <w:r>
        <w:rPr>
          <w:rFonts w:hint="eastAsia"/>
          <w:szCs w:val="32"/>
          <w:highlight w:val="none"/>
        </w:rPr>
        <w:t>）</w:t>
      </w:r>
    </w:p>
    <w:p>
      <w:pPr>
        <w:spacing w:line="600" w:lineRule="exact"/>
        <w:ind w:firstLine="640" w:firstLineChars="200"/>
        <w:rPr>
          <w:rFonts w:hint="eastAsia"/>
          <w:szCs w:val="32"/>
          <w:highlight w:val="none"/>
        </w:rPr>
      </w:pPr>
      <w:r>
        <w:rPr>
          <w:rFonts w:hint="eastAsia"/>
          <w:szCs w:val="32"/>
          <w:highlight w:val="none"/>
        </w:rPr>
        <w:t>四、财政拨款收支总体情况表（表</w:t>
      </w:r>
      <w:r>
        <w:rPr>
          <w:rFonts w:hint="default"/>
          <w:szCs w:val="32"/>
          <w:highlight w:val="none"/>
        </w:rPr>
        <w:t>4</w:t>
      </w:r>
      <w:r>
        <w:rPr>
          <w:rFonts w:hint="eastAsia"/>
          <w:szCs w:val="32"/>
          <w:highlight w:val="none"/>
        </w:rPr>
        <w:t>）</w:t>
      </w:r>
    </w:p>
    <w:p>
      <w:pPr>
        <w:spacing w:line="600" w:lineRule="exact"/>
        <w:ind w:firstLine="640" w:firstLineChars="200"/>
        <w:rPr>
          <w:rFonts w:hint="eastAsia"/>
          <w:szCs w:val="32"/>
          <w:highlight w:val="none"/>
        </w:rPr>
      </w:pPr>
      <w:r>
        <w:rPr>
          <w:rFonts w:hint="eastAsia"/>
          <w:szCs w:val="32"/>
          <w:highlight w:val="none"/>
        </w:rPr>
        <w:t>五、一般公共预算支出情况表（表</w:t>
      </w:r>
      <w:r>
        <w:rPr>
          <w:rFonts w:hint="default"/>
          <w:szCs w:val="32"/>
          <w:highlight w:val="none"/>
        </w:rPr>
        <w:t>5</w:t>
      </w:r>
      <w:r>
        <w:rPr>
          <w:rFonts w:hint="eastAsia"/>
          <w:szCs w:val="32"/>
          <w:highlight w:val="none"/>
        </w:rPr>
        <w:t>）</w:t>
      </w:r>
    </w:p>
    <w:p>
      <w:pPr>
        <w:spacing w:line="600" w:lineRule="exact"/>
        <w:ind w:firstLine="640" w:firstLineChars="200"/>
        <w:rPr>
          <w:rFonts w:hint="eastAsia"/>
          <w:szCs w:val="32"/>
          <w:highlight w:val="none"/>
        </w:rPr>
      </w:pPr>
      <w:r>
        <w:rPr>
          <w:rFonts w:hint="eastAsia"/>
          <w:szCs w:val="32"/>
          <w:highlight w:val="none"/>
        </w:rPr>
        <w:t>六、一般公共预算基本支出情况表（表</w:t>
      </w:r>
      <w:r>
        <w:rPr>
          <w:rFonts w:hint="default"/>
          <w:szCs w:val="32"/>
          <w:highlight w:val="none"/>
        </w:rPr>
        <w:t>6</w:t>
      </w:r>
      <w:r>
        <w:rPr>
          <w:rFonts w:hint="eastAsia"/>
          <w:szCs w:val="32"/>
          <w:highlight w:val="none"/>
        </w:rPr>
        <w:t>）</w:t>
      </w:r>
    </w:p>
    <w:p>
      <w:pPr>
        <w:spacing w:line="600" w:lineRule="exact"/>
        <w:ind w:firstLine="640" w:firstLineChars="200"/>
        <w:rPr>
          <w:rFonts w:hint="eastAsia"/>
          <w:szCs w:val="32"/>
          <w:highlight w:val="none"/>
        </w:rPr>
      </w:pPr>
      <w:r>
        <w:rPr>
          <w:rFonts w:hint="eastAsia"/>
          <w:szCs w:val="32"/>
          <w:highlight w:val="none"/>
        </w:rPr>
        <w:t>七、一般公共预算“三公”经费支出情况表（表7）</w:t>
      </w:r>
    </w:p>
    <w:p>
      <w:pPr>
        <w:spacing w:line="600" w:lineRule="exact"/>
        <w:ind w:firstLine="640" w:firstLineChars="200"/>
        <w:rPr>
          <w:rFonts w:hint="eastAsia"/>
          <w:szCs w:val="32"/>
          <w:highlight w:val="none"/>
        </w:rPr>
      </w:pPr>
      <w:r>
        <w:rPr>
          <w:rFonts w:hint="eastAsia"/>
          <w:szCs w:val="32"/>
          <w:highlight w:val="none"/>
        </w:rPr>
        <w:t>八、政府性基金预算支出情况表（表</w:t>
      </w:r>
      <w:r>
        <w:rPr>
          <w:rFonts w:hint="default"/>
          <w:szCs w:val="32"/>
          <w:highlight w:val="none"/>
        </w:rPr>
        <w:t>8</w:t>
      </w:r>
      <w:r>
        <w:rPr>
          <w:rFonts w:hint="eastAsia"/>
          <w:szCs w:val="32"/>
          <w:highlight w:val="none"/>
        </w:rPr>
        <w:t>）</w:t>
      </w:r>
    </w:p>
    <w:p>
      <w:pPr>
        <w:spacing w:line="600" w:lineRule="exact"/>
        <w:ind w:firstLine="640" w:firstLineChars="200"/>
        <w:rPr>
          <w:rFonts w:hint="eastAsia"/>
          <w:szCs w:val="32"/>
          <w:highlight w:val="none"/>
        </w:rPr>
      </w:pPr>
      <w:r>
        <w:rPr>
          <w:rFonts w:hint="eastAsia"/>
          <w:szCs w:val="32"/>
          <w:highlight w:val="none"/>
        </w:rPr>
        <w:t>九、国有资本经营预算支出表（表</w:t>
      </w:r>
      <w:r>
        <w:rPr>
          <w:rFonts w:hint="default"/>
          <w:szCs w:val="32"/>
          <w:highlight w:val="none"/>
        </w:rPr>
        <w:t>9</w:t>
      </w:r>
      <w:r>
        <w:rPr>
          <w:rFonts w:hint="eastAsia"/>
          <w:szCs w:val="32"/>
          <w:highlight w:val="none"/>
        </w:rPr>
        <w:t>）</w:t>
      </w:r>
    </w:p>
    <w:p>
      <w:pPr>
        <w:spacing w:line="600" w:lineRule="exact"/>
        <w:ind w:firstLine="640" w:firstLineChars="200"/>
        <w:rPr>
          <w:rFonts w:hint="eastAsia"/>
          <w:szCs w:val="32"/>
          <w:highlight w:val="none"/>
        </w:rPr>
      </w:pPr>
      <w:r>
        <w:rPr>
          <w:rFonts w:hint="eastAsia"/>
          <w:szCs w:val="32"/>
          <w:highlight w:val="none"/>
        </w:rPr>
        <w:t>十、政府采购预算表（表</w:t>
      </w:r>
      <w:r>
        <w:rPr>
          <w:rFonts w:hint="default"/>
          <w:szCs w:val="32"/>
          <w:highlight w:val="none"/>
        </w:rPr>
        <w:t>10</w:t>
      </w:r>
      <w:r>
        <w:rPr>
          <w:rFonts w:hint="eastAsia"/>
          <w:szCs w:val="32"/>
          <w:highlight w:val="none"/>
        </w:rPr>
        <w:t>）</w:t>
      </w:r>
    </w:p>
    <w:p>
      <w:pPr>
        <w:spacing w:line="600" w:lineRule="exact"/>
        <w:ind w:firstLine="640" w:firstLineChars="200"/>
        <w:rPr>
          <w:rFonts w:hint="eastAsia"/>
          <w:szCs w:val="32"/>
          <w:highlight w:val="none"/>
        </w:rPr>
      </w:pPr>
      <w:r>
        <w:rPr>
          <w:rFonts w:hint="eastAsia"/>
          <w:szCs w:val="32"/>
          <w:highlight w:val="none"/>
        </w:rPr>
        <w:t>十一、部门预算支出经济分类表（表</w:t>
      </w:r>
      <w:r>
        <w:rPr>
          <w:rFonts w:hint="default"/>
          <w:szCs w:val="32"/>
          <w:highlight w:val="none"/>
        </w:rPr>
        <w:t>11</w:t>
      </w:r>
      <w:r>
        <w:rPr>
          <w:rFonts w:hint="eastAsia"/>
          <w:szCs w:val="32"/>
          <w:highlight w:val="none"/>
        </w:rPr>
        <w:t>）</w:t>
      </w:r>
    </w:p>
    <w:p>
      <w:pPr>
        <w:spacing w:line="600" w:lineRule="exact"/>
        <w:ind w:firstLine="640" w:firstLineChars="200"/>
        <w:rPr>
          <w:rFonts w:hint="eastAsia"/>
          <w:szCs w:val="32"/>
          <w:highlight w:val="none"/>
        </w:rPr>
      </w:pPr>
      <w:r>
        <w:rPr>
          <w:rFonts w:hint="eastAsia"/>
          <w:szCs w:val="32"/>
          <w:highlight w:val="none"/>
        </w:rPr>
        <w:t>十二、政府预算支出经济分类表（表</w:t>
      </w:r>
      <w:r>
        <w:rPr>
          <w:rFonts w:hint="default"/>
          <w:szCs w:val="32"/>
          <w:highlight w:val="none"/>
        </w:rPr>
        <w:t>12</w:t>
      </w:r>
      <w:r>
        <w:rPr>
          <w:rFonts w:hint="eastAsia"/>
          <w:szCs w:val="32"/>
          <w:highlight w:val="none"/>
        </w:rPr>
        <w:t>）</w:t>
      </w:r>
    </w:p>
    <w:p>
      <w:pPr>
        <w:spacing w:line="600" w:lineRule="exact"/>
        <w:ind w:firstLine="640" w:firstLineChars="200"/>
        <w:rPr>
          <w:rFonts w:hint="eastAsia"/>
          <w:szCs w:val="32"/>
          <w:highlight w:val="none"/>
        </w:rPr>
      </w:pPr>
      <w:r>
        <w:rPr>
          <w:rFonts w:hint="eastAsia"/>
          <w:szCs w:val="32"/>
          <w:highlight w:val="none"/>
        </w:rPr>
        <w:t>十三、项目支出（部门预算）绩效目标申报表（表</w:t>
      </w:r>
      <w:r>
        <w:rPr>
          <w:rFonts w:hint="default"/>
          <w:szCs w:val="32"/>
          <w:highlight w:val="none"/>
        </w:rPr>
        <w:t>13</w:t>
      </w:r>
      <w:r>
        <w:rPr>
          <w:rFonts w:hint="eastAsia"/>
          <w:szCs w:val="32"/>
          <w:highlight w:val="none"/>
        </w:rPr>
        <w:t>）</w:t>
      </w:r>
    </w:p>
    <w:p>
      <w:pPr>
        <w:adjustRightInd w:val="0"/>
        <w:snapToGrid w:val="0"/>
        <w:spacing w:line="560" w:lineRule="exact"/>
        <w:ind w:right="-333" w:rightChars="-104" w:firstLine="640" w:firstLineChars="200"/>
        <w:rPr>
          <w:rFonts w:ascii="黑体" w:hAnsi="宋体" w:eastAsia="黑体"/>
          <w:bCs/>
          <w:szCs w:val="32"/>
          <w:highlight w:val="none"/>
        </w:rPr>
      </w:pPr>
    </w:p>
    <w:p>
      <w:pPr>
        <w:adjustRightInd w:val="0"/>
        <w:snapToGrid w:val="0"/>
        <w:spacing w:line="560" w:lineRule="exact"/>
        <w:ind w:right="-333" w:rightChars="-104" w:firstLine="640" w:firstLineChars="200"/>
        <w:rPr>
          <w:rFonts w:ascii="黑体" w:hAnsi="宋体" w:eastAsia="黑体"/>
          <w:bCs/>
          <w:szCs w:val="32"/>
          <w:highlight w:val="none"/>
        </w:rPr>
      </w:pPr>
    </w:p>
    <w:p>
      <w:pPr>
        <w:adjustRightInd w:val="0"/>
        <w:snapToGrid w:val="0"/>
        <w:spacing w:line="560" w:lineRule="exact"/>
        <w:ind w:right="-333" w:rightChars="-104" w:firstLine="640" w:firstLineChars="200"/>
        <w:rPr>
          <w:rFonts w:ascii="黑体" w:hAnsi="宋体" w:eastAsia="黑体"/>
          <w:bCs/>
          <w:szCs w:val="32"/>
          <w:highlight w:val="none"/>
        </w:rPr>
      </w:pPr>
    </w:p>
    <w:p>
      <w:pPr>
        <w:adjustRightInd w:val="0"/>
        <w:snapToGrid w:val="0"/>
        <w:spacing w:line="560" w:lineRule="exact"/>
        <w:ind w:right="-333" w:rightChars="-104" w:firstLine="640" w:firstLineChars="200"/>
        <w:rPr>
          <w:rFonts w:ascii="黑体" w:hAnsi="宋体" w:eastAsia="黑体"/>
          <w:bCs/>
          <w:szCs w:val="32"/>
          <w:highlight w:val="none"/>
        </w:rPr>
      </w:pPr>
    </w:p>
    <w:p>
      <w:pPr>
        <w:adjustRightInd w:val="0"/>
        <w:snapToGrid w:val="0"/>
        <w:spacing w:line="560" w:lineRule="exact"/>
        <w:ind w:right="-333" w:rightChars="-104" w:firstLine="640" w:firstLineChars="200"/>
        <w:rPr>
          <w:rFonts w:ascii="黑体" w:hAnsi="宋体" w:eastAsia="黑体"/>
          <w:bCs/>
          <w:szCs w:val="32"/>
          <w:highlight w:val="none"/>
        </w:rPr>
      </w:pPr>
    </w:p>
    <w:p>
      <w:pPr>
        <w:adjustRightInd w:val="0"/>
        <w:snapToGrid w:val="0"/>
        <w:spacing w:line="560" w:lineRule="exact"/>
        <w:ind w:right="-333" w:rightChars="-104" w:firstLine="640" w:firstLineChars="200"/>
        <w:rPr>
          <w:rFonts w:ascii="黑体" w:hAnsi="宋体" w:eastAsia="黑体"/>
          <w:bCs/>
          <w:szCs w:val="32"/>
          <w:highlight w:val="none"/>
        </w:rPr>
      </w:pPr>
    </w:p>
    <w:p>
      <w:pPr>
        <w:adjustRightInd w:val="0"/>
        <w:snapToGrid w:val="0"/>
        <w:spacing w:line="560" w:lineRule="exact"/>
        <w:ind w:right="-333" w:rightChars="-104" w:firstLine="640" w:firstLineChars="200"/>
        <w:jc w:val="both"/>
        <w:rPr>
          <w:rFonts w:hint="eastAsia" w:ascii="黑体" w:hAnsi="宋体" w:eastAsia="黑体"/>
          <w:bCs/>
          <w:szCs w:val="32"/>
          <w:highlight w:val="none"/>
        </w:rPr>
        <w:sectPr>
          <w:footerReference r:id="rId4" w:type="default"/>
          <w:pgSz w:w="11906" w:h="16838"/>
          <w:pgMar w:top="2098" w:right="1417" w:bottom="1984" w:left="1587" w:header="851" w:footer="992" w:gutter="0"/>
          <w:pgNumType w:start="1"/>
          <w:cols w:space="720" w:num="1"/>
          <w:docGrid w:type="lines" w:linePitch="634" w:charSpace="-2109"/>
        </w:sectPr>
      </w:pPr>
    </w:p>
    <w:p>
      <w:pPr>
        <w:adjustRightInd w:val="0"/>
        <w:snapToGrid w:val="0"/>
        <w:spacing w:line="560" w:lineRule="exact"/>
        <w:ind w:right="-333" w:rightChars="-104" w:firstLine="640" w:firstLineChars="200"/>
        <w:jc w:val="both"/>
        <w:rPr>
          <w:rFonts w:ascii="黑体" w:hAnsi="宋体" w:eastAsia="黑体"/>
          <w:bCs/>
          <w:szCs w:val="32"/>
          <w:highlight w:val="none"/>
        </w:rPr>
      </w:pPr>
      <w:r>
        <w:rPr>
          <w:rFonts w:hint="eastAsia" w:ascii="黑体" w:hAnsi="宋体" w:eastAsia="黑体"/>
          <w:bCs/>
          <w:szCs w:val="32"/>
          <w:highlight w:val="none"/>
        </w:rPr>
        <w:t>第一部分：部门概况</w:t>
      </w:r>
    </w:p>
    <w:p>
      <w:pPr>
        <w:adjustRightInd w:val="0"/>
        <w:snapToGrid w:val="0"/>
        <w:spacing w:line="560" w:lineRule="exact"/>
        <w:ind w:right="-333" w:rightChars="-104" w:firstLine="640" w:firstLineChars="200"/>
        <w:rPr>
          <w:rFonts w:ascii="黑体" w:hAnsi="宋体" w:eastAsia="黑体"/>
          <w:szCs w:val="32"/>
          <w:highlight w:val="none"/>
        </w:rPr>
      </w:pPr>
      <w:r>
        <w:rPr>
          <w:rFonts w:hint="eastAsia" w:ascii="黑体" w:hAnsi="宋体" w:eastAsia="黑体"/>
          <w:bCs/>
          <w:szCs w:val="32"/>
          <w:highlight w:val="none"/>
        </w:rPr>
        <w:t>一</w:t>
      </w:r>
      <w:r>
        <w:rPr>
          <w:rFonts w:hint="eastAsia" w:ascii="黑体" w:hAnsi="宋体" w:eastAsia="黑体"/>
          <w:szCs w:val="32"/>
          <w:highlight w:val="none"/>
        </w:rPr>
        <w:t>、主要职责</w:t>
      </w:r>
    </w:p>
    <w:p>
      <w:pPr>
        <w:adjustRightInd w:val="0"/>
        <w:snapToGrid w:val="0"/>
        <w:spacing w:line="586" w:lineRule="exact"/>
        <w:ind w:right="-333" w:rightChars="-104" w:firstLine="640" w:firstLineChars="200"/>
        <w:rPr>
          <w:rFonts w:eastAsia="仿宋_GB2312"/>
          <w:sz w:val="32"/>
          <w:szCs w:val="32"/>
          <w:highlight w:val="none"/>
        </w:rPr>
      </w:pPr>
      <w:r>
        <w:rPr>
          <w:rFonts w:hint="eastAsia" w:eastAsia="仿宋_GB2312"/>
          <w:sz w:val="32"/>
          <w:szCs w:val="32"/>
          <w:highlight w:val="none"/>
        </w:rPr>
        <w:t>（一）依法审理法律规定应由其管辖的第一审刑事、民事、行政诉讼案件以及法律规定的其他案件。</w:t>
      </w:r>
    </w:p>
    <w:p>
      <w:pPr>
        <w:pStyle w:val="2"/>
        <w:adjustRightInd w:val="0"/>
        <w:snapToGrid w:val="0"/>
        <w:spacing w:line="586" w:lineRule="exact"/>
        <w:ind w:firstLine="720" w:firstLineChars="225"/>
        <w:rPr>
          <w:rFonts w:ascii="仿宋_GB2312" w:hAnsi="仿宋" w:eastAsia="仿宋_GB2312"/>
          <w:sz w:val="24"/>
          <w:szCs w:val="24"/>
          <w:highlight w:val="none"/>
        </w:rPr>
      </w:pPr>
      <w:r>
        <w:rPr>
          <w:rFonts w:hint="eastAsia" w:eastAsia="仿宋_GB2312"/>
          <w:sz w:val="32"/>
          <w:szCs w:val="32"/>
          <w:highlight w:val="none"/>
        </w:rPr>
        <w:t>（二）</w:t>
      </w:r>
      <w:r>
        <w:rPr>
          <w:rFonts w:hint="eastAsia" w:ascii="Times New Roman" w:hAnsi="Times New Roman" w:eastAsia="仿宋_GB2312" w:cs="Times New Roman"/>
          <w:sz w:val="32"/>
          <w:szCs w:val="32"/>
          <w:highlight w:val="none"/>
        </w:rPr>
        <w:t>审理上级人民法院指定再审的案件；审理本院发生法律效力的判决、裁定提起再审的案件。</w:t>
      </w:r>
    </w:p>
    <w:p>
      <w:pPr>
        <w:adjustRightInd w:val="0"/>
        <w:snapToGrid w:val="0"/>
        <w:spacing w:line="586" w:lineRule="exact"/>
        <w:ind w:right="-333" w:rightChars="-104" w:firstLine="640" w:firstLineChars="200"/>
        <w:rPr>
          <w:rFonts w:eastAsia="仿宋_GB2312"/>
          <w:sz w:val="32"/>
          <w:szCs w:val="32"/>
          <w:highlight w:val="none"/>
        </w:rPr>
      </w:pPr>
      <w:r>
        <w:rPr>
          <w:rFonts w:hint="eastAsia" w:eastAsia="仿宋_GB2312"/>
          <w:sz w:val="32"/>
          <w:szCs w:val="32"/>
          <w:highlight w:val="none"/>
        </w:rPr>
        <w:t>（三）依法审理上级人民法院交由其审理的刑事、民事、行政案件。</w:t>
      </w:r>
    </w:p>
    <w:p>
      <w:pPr>
        <w:adjustRightInd w:val="0"/>
        <w:snapToGrid w:val="0"/>
        <w:spacing w:line="586" w:lineRule="exact"/>
        <w:ind w:right="-333" w:rightChars="-104" w:firstLine="640" w:firstLineChars="200"/>
        <w:rPr>
          <w:rFonts w:eastAsia="仿宋_GB2312"/>
          <w:sz w:val="32"/>
          <w:szCs w:val="32"/>
          <w:highlight w:val="none"/>
        </w:rPr>
      </w:pPr>
      <w:r>
        <w:rPr>
          <w:rFonts w:hint="eastAsia" w:eastAsia="仿宋_GB2312"/>
          <w:sz w:val="32"/>
          <w:szCs w:val="32"/>
          <w:highlight w:val="none"/>
        </w:rPr>
        <w:t>（四）依法行使司法决定权和司法执行权，执行由其作为一审法院的终审裁决或行政机关申请执行的非诉行政案件。</w:t>
      </w:r>
    </w:p>
    <w:p>
      <w:pPr>
        <w:adjustRightInd w:val="0"/>
        <w:snapToGrid w:val="0"/>
        <w:spacing w:line="586" w:lineRule="exact"/>
        <w:ind w:right="-333" w:rightChars="-104" w:firstLine="640" w:firstLineChars="200"/>
        <w:rPr>
          <w:rFonts w:hint="eastAsia" w:eastAsia="仿宋_GB2312"/>
          <w:sz w:val="32"/>
          <w:szCs w:val="32"/>
          <w:highlight w:val="none"/>
        </w:rPr>
      </w:pPr>
      <w:r>
        <w:rPr>
          <w:rFonts w:hint="eastAsia" w:eastAsia="仿宋_GB2312"/>
          <w:sz w:val="32"/>
          <w:szCs w:val="32"/>
          <w:highlight w:val="none"/>
        </w:rPr>
        <w:t>（五）负责对人民调解委员会的调解工作进行业务指导。</w:t>
      </w:r>
    </w:p>
    <w:p>
      <w:pPr>
        <w:adjustRightInd w:val="0"/>
        <w:snapToGrid w:val="0"/>
        <w:spacing w:line="586" w:lineRule="exact"/>
        <w:ind w:right="-333" w:rightChars="-104" w:firstLine="640" w:firstLineChars="200"/>
        <w:rPr>
          <w:rFonts w:eastAsia="仿宋_GB2312"/>
          <w:sz w:val="32"/>
          <w:szCs w:val="32"/>
          <w:highlight w:val="none"/>
        </w:rPr>
      </w:pPr>
      <w:r>
        <w:rPr>
          <w:rFonts w:hint="eastAsia" w:eastAsia="仿宋_GB2312"/>
          <w:sz w:val="32"/>
          <w:szCs w:val="32"/>
          <w:highlight w:val="none"/>
        </w:rPr>
        <w:t>（六）</w:t>
      </w:r>
      <w:r>
        <w:rPr>
          <w:rFonts w:hint="eastAsia" w:ascii="Times New Roman" w:hAnsi="Times New Roman" w:eastAsia="仿宋_GB2312" w:cs="Times New Roman"/>
          <w:sz w:val="32"/>
          <w:szCs w:val="32"/>
          <w:highlight w:val="none"/>
        </w:rPr>
        <w:t>负责本院的政治思想、内部监督、教育培训、法制宣传、司法行政事务、司法警察等工作。</w:t>
      </w:r>
    </w:p>
    <w:p>
      <w:pPr>
        <w:spacing w:line="560" w:lineRule="exact"/>
        <w:ind w:firstLine="640" w:firstLineChars="200"/>
        <w:rPr>
          <w:rFonts w:hint="eastAsia" w:eastAsia="仿宋_GB2312"/>
          <w:sz w:val="32"/>
          <w:szCs w:val="32"/>
          <w:highlight w:val="none"/>
        </w:rPr>
      </w:pPr>
      <w:r>
        <w:rPr>
          <w:rFonts w:hint="eastAsia" w:eastAsia="仿宋_GB2312"/>
          <w:sz w:val="32"/>
          <w:szCs w:val="32"/>
          <w:highlight w:val="none"/>
        </w:rPr>
        <w:t>（七）承办其他应由本院负责的工作。</w:t>
      </w:r>
    </w:p>
    <w:p>
      <w:pPr>
        <w:spacing w:line="560" w:lineRule="exact"/>
        <w:ind w:firstLine="640" w:firstLineChars="200"/>
        <w:rPr>
          <w:rFonts w:ascii="黑体" w:hAnsi="宋体" w:eastAsia="黑体"/>
          <w:szCs w:val="32"/>
          <w:highlight w:val="none"/>
        </w:rPr>
      </w:pPr>
      <w:r>
        <w:rPr>
          <w:rFonts w:hint="eastAsia" w:ascii="黑体" w:hAnsi="宋体" w:eastAsia="黑体"/>
          <w:szCs w:val="32"/>
          <w:highlight w:val="none"/>
        </w:rPr>
        <w:t>二、机构设置情况</w:t>
      </w:r>
    </w:p>
    <w:p>
      <w:pPr>
        <w:adjustRightInd w:val="0"/>
        <w:snapToGrid w:val="0"/>
        <w:spacing w:line="586" w:lineRule="exact"/>
        <w:ind w:right="-333" w:rightChars="-104"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eastAsia="zh-CN"/>
        </w:rPr>
        <w:t>资源县</w:t>
      </w:r>
      <w:r>
        <w:rPr>
          <w:rFonts w:hint="eastAsia" w:ascii="Times New Roman" w:hAnsi="Times New Roman" w:eastAsia="仿宋_GB2312" w:cs="Times New Roman"/>
          <w:sz w:val="32"/>
          <w:szCs w:val="32"/>
          <w:highlight w:val="none"/>
        </w:rPr>
        <w:t>人民法院内设机构（科室）</w:t>
      </w:r>
      <w:r>
        <w:rPr>
          <w:rFonts w:hint="eastAsia" w:eastAsia="仿宋_GB2312"/>
          <w:sz w:val="32"/>
          <w:szCs w:val="32"/>
          <w:highlight w:val="none"/>
          <w:lang w:val="en-US" w:eastAsia="zh-CN"/>
        </w:rPr>
        <w:t>9</w:t>
      </w:r>
      <w:r>
        <w:rPr>
          <w:rFonts w:hint="eastAsia" w:eastAsia="仿宋_GB2312"/>
          <w:sz w:val="32"/>
          <w:szCs w:val="32"/>
          <w:highlight w:val="none"/>
        </w:rPr>
        <w:t>个</w:t>
      </w:r>
      <w:r>
        <w:rPr>
          <w:rFonts w:hint="eastAsia" w:eastAsia="仿宋_GB2312"/>
          <w:sz w:val="32"/>
          <w:szCs w:val="32"/>
          <w:highlight w:val="none"/>
          <w:lang w:eastAsia="zh-CN"/>
        </w:rPr>
        <w:t>，派出法庭</w:t>
      </w:r>
      <w:r>
        <w:rPr>
          <w:rFonts w:hint="eastAsia" w:eastAsia="仿宋_GB2312"/>
          <w:sz w:val="32"/>
          <w:szCs w:val="32"/>
          <w:highlight w:val="none"/>
          <w:lang w:val="en-US" w:eastAsia="zh-CN"/>
        </w:rPr>
        <w:t>2个</w:t>
      </w:r>
      <w:r>
        <w:rPr>
          <w:rFonts w:hint="eastAsia" w:ascii="Times New Roman" w:hAnsi="Times New Roman" w:eastAsia="仿宋_GB2312" w:cs="Times New Roman"/>
          <w:sz w:val="32"/>
          <w:szCs w:val="32"/>
          <w:highlight w:val="none"/>
          <w:lang w:val="en-US" w:eastAsia="zh-CN"/>
        </w:rPr>
        <w:t>。</w:t>
      </w:r>
    </w:p>
    <w:p>
      <w:pPr>
        <w:adjustRightInd w:val="0"/>
        <w:snapToGrid w:val="0"/>
        <w:spacing w:line="586" w:lineRule="exact"/>
        <w:ind w:right="-333" w:rightChars="-104"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立案庭（诉讼服务中心）</w:t>
      </w:r>
      <w:r>
        <w:rPr>
          <w:rFonts w:hint="eastAsia" w:cs="Times New Roman"/>
          <w:sz w:val="32"/>
          <w:szCs w:val="32"/>
          <w:highlight w:val="none"/>
          <w:lang w:eastAsia="zh-CN"/>
        </w:rPr>
        <w:t>：</w:t>
      </w:r>
      <w:r>
        <w:rPr>
          <w:rFonts w:hint="eastAsia" w:ascii="Times New Roman" w:hAnsi="Times New Roman" w:eastAsia="仿宋_GB2312" w:cs="Times New Roman"/>
          <w:sz w:val="32"/>
          <w:szCs w:val="32"/>
          <w:highlight w:val="none"/>
        </w:rPr>
        <w:t>负责对本院各类案件进行登记立案或裁定不予立案；负责诉讼费用核算、诉讼费用减、缓、免办理；负责诉讼服务中心运行管理与协调，为当事人提供诉讼服务；负责对来信来访（执行信访除外）进行处理、登记工作；负责多元化纠纷解决机制和民事案件繁简分流机制建设工作。</w:t>
      </w:r>
    </w:p>
    <w:p>
      <w:pPr>
        <w:adjustRightInd w:val="0"/>
        <w:snapToGrid w:val="0"/>
        <w:spacing w:line="586" w:lineRule="exact"/>
        <w:ind w:right="-333" w:rightChars="-104"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刑事审判庭</w:t>
      </w:r>
      <w:r>
        <w:rPr>
          <w:rFonts w:hint="eastAsia" w:cs="Times New Roman"/>
          <w:sz w:val="32"/>
          <w:szCs w:val="32"/>
          <w:highlight w:val="none"/>
          <w:lang w:eastAsia="zh-CN"/>
        </w:rPr>
        <w:t>：</w:t>
      </w:r>
      <w:r>
        <w:rPr>
          <w:rFonts w:hint="eastAsia" w:ascii="Times New Roman" w:hAnsi="Times New Roman" w:eastAsia="仿宋_GB2312" w:cs="Times New Roman"/>
          <w:sz w:val="32"/>
          <w:szCs w:val="32"/>
          <w:highlight w:val="none"/>
        </w:rPr>
        <w:t>依法审理危害公共安全罪、破坏社会主义市场经济秩序罪、侵犯公民人身权利和民主权利罪、妨害社会管理秩序罪、危害国防利益罪、贪污贿赂罪、渎职罪等第一审刑事案件；审理刑事自诉案件；办理其他有关刑事审判工作事宜。</w:t>
      </w:r>
    </w:p>
    <w:p>
      <w:pPr>
        <w:adjustRightInd w:val="0"/>
        <w:snapToGrid w:val="0"/>
        <w:spacing w:line="586" w:lineRule="exact"/>
        <w:ind w:right="-333" w:rightChars="-104"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民事审判庭</w:t>
      </w:r>
      <w:r>
        <w:rPr>
          <w:rFonts w:hint="eastAsia" w:cs="Times New Roman"/>
          <w:sz w:val="32"/>
          <w:szCs w:val="32"/>
          <w:highlight w:val="none"/>
          <w:lang w:eastAsia="zh-CN"/>
        </w:rPr>
        <w:t>：</w:t>
      </w:r>
      <w:r>
        <w:rPr>
          <w:rFonts w:hint="eastAsia" w:ascii="Times New Roman" w:hAnsi="Times New Roman" w:eastAsia="仿宋_GB2312" w:cs="Times New Roman"/>
          <w:sz w:val="32"/>
          <w:szCs w:val="32"/>
          <w:highlight w:val="none"/>
        </w:rPr>
        <w:t>依法审理应由基层人民法院管辖的有关婚姻家庭、劳动争议、不当得利、无因管理等传统民事案件、房地产案件；审理不动产相邻关系案件，邻地利用权案件以及其他不动产案件；审理农村承包合同案件；审理自然人之间、自然人与法人、其他组织之间的合同、侵权案件；审理适用特别程序的案件；审理第一审法人之间、法人与其他组织之间的合同纠纷和侵权纠纷案件；审理第一审票据、公司、破产等案件；指导人民法庭工作；办理其他有关民事审判工作事宜。</w:t>
      </w:r>
    </w:p>
    <w:p>
      <w:pPr>
        <w:adjustRightInd w:val="0"/>
        <w:snapToGrid w:val="0"/>
        <w:spacing w:line="586" w:lineRule="exact"/>
        <w:ind w:right="-333" w:rightChars="-104"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综合审判庭</w:t>
      </w:r>
      <w:r>
        <w:rPr>
          <w:rFonts w:hint="eastAsia" w:cs="Times New Roman"/>
          <w:sz w:val="32"/>
          <w:szCs w:val="32"/>
          <w:highlight w:val="none"/>
          <w:lang w:eastAsia="zh-CN"/>
        </w:rPr>
        <w:t>：</w:t>
      </w:r>
      <w:r>
        <w:rPr>
          <w:rFonts w:hint="eastAsia" w:ascii="Times New Roman" w:hAnsi="Times New Roman" w:eastAsia="仿宋_GB2312" w:cs="Times New Roman"/>
          <w:sz w:val="32"/>
          <w:szCs w:val="32"/>
          <w:highlight w:val="none"/>
        </w:rPr>
        <w:t>依法审理第一审行政（赔偿）诉讼案件；负责行政机关申请强制执行的非诉行政案件的审查；办理本院作为赔偿义务机关的国家赔偿案件及相关的应诉事宜；办理国家司法救助案件；负责本院及上级法院作出的赔偿决定、救助决定的执行、协调；审查处理本院各类再审案件；办理其他有关审判工作事项。</w:t>
      </w:r>
    </w:p>
    <w:p>
      <w:pPr>
        <w:adjustRightInd w:val="0"/>
        <w:snapToGrid w:val="0"/>
        <w:spacing w:line="586" w:lineRule="exact"/>
        <w:ind w:right="-333" w:rightChars="-104"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执行局</w:t>
      </w:r>
      <w:r>
        <w:rPr>
          <w:rFonts w:hint="eastAsia" w:cs="Times New Roman"/>
          <w:sz w:val="32"/>
          <w:szCs w:val="32"/>
          <w:highlight w:val="none"/>
          <w:lang w:eastAsia="zh-CN"/>
        </w:rPr>
        <w:t>：</w:t>
      </w:r>
      <w:r>
        <w:rPr>
          <w:rFonts w:hint="eastAsia" w:ascii="Times New Roman" w:hAnsi="Times New Roman" w:eastAsia="仿宋_GB2312" w:cs="Times New Roman"/>
          <w:sz w:val="32"/>
          <w:szCs w:val="32"/>
          <w:highlight w:val="none"/>
        </w:rPr>
        <w:t>负责执行已生效的民事、行政判决、裁定、调解书、民事制裁决定、支付令，刑事附带民事判决、裁定、调解书及法律规定的应由本院执行的其他法律文书；负责实施本院审判部门移送的财产保全及先予执行案件，依法采取保全及执行措施；负责办理与本院执行相关的执行异议、执行信访案件；负责办理对外执行联动、联合信用惩戒等工作；负责执行上级法院指定、协同执行的案件，处理其他法院委托的执行事项；协助处理其他法院到本辖区执行的案件。</w:t>
      </w:r>
    </w:p>
    <w:p>
      <w:pPr>
        <w:adjustRightInd w:val="0"/>
        <w:snapToGrid w:val="0"/>
        <w:spacing w:line="586" w:lineRule="exact"/>
        <w:ind w:right="-333" w:rightChars="-104"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政治部</w:t>
      </w:r>
      <w:r>
        <w:rPr>
          <w:rFonts w:hint="eastAsia" w:cs="Times New Roman"/>
          <w:sz w:val="32"/>
          <w:szCs w:val="32"/>
          <w:highlight w:val="none"/>
          <w:lang w:eastAsia="zh-CN"/>
        </w:rPr>
        <w:t>：</w:t>
      </w:r>
      <w:r>
        <w:rPr>
          <w:rFonts w:hint="eastAsia" w:ascii="Times New Roman" w:hAnsi="Times New Roman" w:eastAsia="仿宋_GB2312" w:cs="Times New Roman"/>
          <w:sz w:val="32"/>
          <w:szCs w:val="32"/>
          <w:highlight w:val="none"/>
        </w:rPr>
        <w:t>协助院党组抓好本院领导班子及队伍建设工作；负责本院干部人事、机构编制、教育培训、工资福利、考核考评、表彰奖励工作；负责机关党建、法院文化建设工作；负责人民陪审员工作；负责离退休老干部工作；指导本院工会、共青团、妇委会等群众组织开展工作；负责本院内部监督工作。</w:t>
      </w:r>
    </w:p>
    <w:p>
      <w:pPr>
        <w:adjustRightInd w:val="0"/>
        <w:snapToGrid w:val="0"/>
        <w:spacing w:line="586" w:lineRule="exact"/>
        <w:ind w:right="-333" w:rightChars="-104"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综合办公室</w:t>
      </w:r>
      <w:r>
        <w:rPr>
          <w:rFonts w:hint="eastAsia" w:cs="Times New Roman"/>
          <w:sz w:val="32"/>
          <w:szCs w:val="32"/>
          <w:highlight w:val="none"/>
          <w:lang w:eastAsia="zh-CN"/>
        </w:rPr>
        <w:t>：</w:t>
      </w:r>
      <w:r>
        <w:rPr>
          <w:rFonts w:hint="eastAsia" w:ascii="Times New Roman" w:hAnsi="Times New Roman" w:eastAsia="仿宋_GB2312" w:cs="Times New Roman"/>
          <w:sz w:val="32"/>
          <w:szCs w:val="32"/>
          <w:highlight w:val="none"/>
        </w:rPr>
        <w:t>协助院党组和院领导处理司法政务；负责本院日常运转工作；负责宣传、意识形态工作；负责财务管理、基础建设、固定资产管理、物资装备管理等工作；负责本院网络安全与信息化工作。</w:t>
      </w:r>
    </w:p>
    <w:p>
      <w:pPr>
        <w:adjustRightInd w:val="0"/>
        <w:snapToGrid w:val="0"/>
        <w:spacing w:line="586" w:lineRule="exact"/>
        <w:ind w:right="-333" w:rightChars="-104"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审判管理办公室（研究室）</w:t>
      </w:r>
      <w:r>
        <w:rPr>
          <w:rFonts w:hint="eastAsia" w:cs="Times New Roman"/>
          <w:sz w:val="32"/>
          <w:szCs w:val="32"/>
          <w:highlight w:val="none"/>
          <w:lang w:eastAsia="zh-CN"/>
        </w:rPr>
        <w:t>：</w:t>
      </w:r>
      <w:r>
        <w:rPr>
          <w:rFonts w:hint="eastAsia" w:ascii="Times New Roman" w:hAnsi="Times New Roman" w:eastAsia="仿宋_GB2312" w:cs="Times New Roman"/>
          <w:sz w:val="32"/>
          <w:szCs w:val="32"/>
          <w:highlight w:val="none"/>
        </w:rPr>
        <w:t>负责审判委员会的日常事务管理；负责审判管理工作；负责司法公开工作；负责研究、汇总对有关法律、法规草案及其他规范性文件的修改意见；负责组织开展学术理论研讨事务；负责典型裁判案例的整理、编发、上报工作；负责办理或协调办理涉外及涉港、澳、台司法协（互）助事务。</w:t>
      </w:r>
    </w:p>
    <w:p>
      <w:pPr>
        <w:adjustRightInd w:val="0"/>
        <w:snapToGrid w:val="0"/>
        <w:spacing w:line="586" w:lineRule="exact"/>
        <w:ind w:right="-333" w:rightChars="-104"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司法警察大队</w:t>
      </w:r>
      <w:r>
        <w:rPr>
          <w:rFonts w:hint="eastAsia" w:cs="Times New Roman"/>
          <w:sz w:val="32"/>
          <w:szCs w:val="32"/>
          <w:highlight w:val="none"/>
          <w:lang w:eastAsia="zh-CN"/>
        </w:rPr>
        <w:t>：</w:t>
      </w:r>
      <w:r>
        <w:rPr>
          <w:rFonts w:hint="eastAsia" w:ascii="Times New Roman" w:hAnsi="Times New Roman" w:eastAsia="仿宋_GB2312" w:cs="Times New Roman"/>
          <w:sz w:val="32"/>
          <w:szCs w:val="32"/>
          <w:highlight w:val="none"/>
        </w:rPr>
        <w:t>负责维护审判秩序；负责对进入审判区域的人员进行安全检查；负责协助机关安全和涉诉信访应急处置工作；负责刑事审判中押解、看管被告人或者罪犯、传带证人、鉴定人和传递证据；负责在生效法律文书的强制执行中，配合实施执行措施，必要时依法采取强制措施；负责执行拘传、拘留等强制措施；负责法律、法规规定的其他职责。</w:t>
      </w:r>
    </w:p>
    <w:p>
      <w:pPr>
        <w:adjustRightInd w:val="0"/>
        <w:snapToGrid w:val="0"/>
        <w:spacing w:line="586" w:lineRule="exact"/>
        <w:ind w:right="-333" w:rightChars="-104"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rPr>
        <w:t>设立</w:t>
      </w:r>
      <w:r>
        <w:rPr>
          <w:rFonts w:hint="eastAsia" w:eastAsia="仿宋_GB2312"/>
          <w:sz w:val="32"/>
          <w:szCs w:val="32"/>
          <w:highlight w:val="none"/>
        </w:rPr>
        <w:t>2个派出</w:t>
      </w:r>
      <w:r>
        <w:rPr>
          <w:rFonts w:hint="eastAsia" w:ascii="Times New Roman" w:hAnsi="Times New Roman" w:eastAsia="仿宋_GB2312" w:cs="Times New Roman"/>
          <w:sz w:val="32"/>
          <w:szCs w:val="32"/>
          <w:highlight w:val="none"/>
        </w:rPr>
        <w:t>机构，即车田人民法庭、梅溪人民法庭。人民法庭的主要职责：负责本辖区各类一审民事诉讼、刑事自诉案件的审理调解工作和部分案件执行工作；受理本辖区人民群众的来信来访工作；指导本辖区调解组织开展工作；做好本辖区的法制宣传教育工作；办理其他有关审判工作事宜。</w:t>
      </w:r>
    </w:p>
    <w:p>
      <w:pPr>
        <w:spacing w:line="586" w:lineRule="exact"/>
        <w:ind w:firstLine="627" w:firstLineChars="196"/>
        <w:rPr>
          <w:rFonts w:eastAsia="黑体"/>
          <w:szCs w:val="32"/>
          <w:highlight w:val="none"/>
        </w:rPr>
      </w:pPr>
    </w:p>
    <w:p>
      <w:pPr>
        <w:autoSpaceDE w:val="0"/>
        <w:autoSpaceDN w:val="0"/>
        <w:adjustRightInd w:val="0"/>
        <w:spacing w:line="586" w:lineRule="exact"/>
        <w:ind w:left="16" w:leftChars="5" w:firstLine="627" w:firstLineChars="196"/>
        <w:jc w:val="left"/>
        <w:rPr>
          <w:rFonts w:ascii="仿宋_GB2312" w:hAnsi="仿宋_GB2312" w:cs="仿宋_GB2312"/>
          <w:szCs w:val="32"/>
          <w:highlight w:val="none"/>
          <w:u w:val="single"/>
        </w:rPr>
      </w:pPr>
      <w:r>
        <w:rPr>
          <w:rFonts w:hint="eastAsia" w:ascii="黑体" w:eastAsia="黑体"/>
          <w:szCs w:val="32"/>
          <w:highlight w:val="none"/>
        </w:rPr>
        <w:t>第二部分：</w:t>
      </w:r>
      <w:r>
        <w:rPr>
          <w:rFonts w:hint="eastAsia" w:hAnsi="黑体" w:eastAsia="黑体"/>
          <w:szCs w:val="32"/>
          <w:highlight w:val="none"/>
          <w:lang w:eastAsia="zh-CN"/>
        </w:rPr>
        <w:t>资源县人民法院</w:t>
      </w:r>
      <w:r>
        <w:rPr>
          <w:rFonts w:eastAsia="黑体"/>
          <w:szCs w:val="32"/>
          <w:highlight w:val="none"/>
        </w:rPr>
        <w:t>202</w:t>
      </w:r>
      <w:r>
        <w:rPr>
          <w:rFonts w:hint="eastAsia" w:eastAsia="黑体"/>
          <w:szCs w:val="32"/>
          <w:highlight w:val="none"/>
        </w:rPr>
        <w:t>4</w:t>
      </w:r>
      <w:r>
        <w:rPr>
          <w:rFonts w:hAnsi="黑体" w:eastAsia="黑体"/>
          <w:szCs w:val="32"/>
          <w:highlight w:val="none"/>
        </w:rPr>
        <w:t>年部门预算情况说明</w:t>
      </w:r>
    </w:p>
    <w:p>
      <w:pPr>
        <w:tabs>
          <w:tab w:val="center" w:pos="4475"/>
        </w:tabs>
        <w:spacing w:line="560" w:lineRule="exact"/>
        <w:ind w:firstLine="645"/>
        <w:rPr>
          <w:rFonts w:ascii="黑体" w:eastAsia="黑体"/>
          <w:szCs w:val="32"/>
          <w:highlight w:val="none"/>
        </w:rPr>
      </w:pPr>
      <w:r>
        <w:rPr>
          <w:rFonts w:hint="eastAsia" w:ascii="黑体" w:eastAsia="黑体"/>
          <w:szCs w:val="32"/>
          <w:highlight w:val="none"/>
        </w:rPr>
        <w:t>一、部门收支总体情况说明</w:t>
      </w:r>
    </w:p>
    <w:p>
      <w:pPr>
        <w:tabs>
          <w:tab w:val="center" w:pos="4475"/>
        </w:tabs>
        <w:spacing w:line="560" w:lineRule="exact"/>
        <w:ind w:firstLine="645"/>
        <w:rPr>
          <w:rFonts w:ascii="黑体" w:eastAsia="黑体"/>
          <w:szCs w:val="32"/>
          <w:highlight w:val="none"/>
        </w:rPr>
      </w:pPr>
      <w:r>
        <w:rPr>
          <w:rFonts w:hint="eastAsia" w:ascii="Times New Roman" w:hAnsi="Times New Roman" w:eastAsia="仿宋_GB2312" w:cs="Times New Roman"/>
          <w:sz w:val="32"/>
          <w:szCs w:val="32"/>
          <w:highlight w:val="none"/>
        </w:rPr>
        <w:t>我部门总收入</w:t>
      </w:r>
      <w:r>
        <w:rPr>
          <w:rFonts w:hint="eastAsia" w:ascii="Times New Roman" w:hAnsi="Times New Roman" w:eastAsia="仿宋_GB2312" w:cs="Times New Roman"/>
          <w:sz w:val="32"/>
          <w:szCs w:val="32"/>
          <w:highlight w:val="none"/>
          <w:lang w:val="en-US" w:eastAsia="zh-CN"/>
        </w:rPr>
        <w:t>1865.38</w:t>
      </w:r>
      <w:r>
        <w:rPr>
          <w:rFonts w:hint="eastAsia" w:ascii="Times New Roman" w:hAnsi="Times New Roman" w:eastAsia="仿宋_GB2312" w:cs="Times New Roman"/>
          <w:sz w:val="32"/>
          <w:szCs w:val="32"/>
          <w:highlight w:val="none"/>
        </w:rPr>
        <w:t>万元，总支出</w:t>
      </w:r>
      <w:r>
        <w:rPr>
          <w:rFonts w:hint="eastAsia" w:ascii="Times New Roman" w:hAnsi="Times New Roman" w:eastAsia="仿宋_GB2312" w:cs="Times New Roman"/>
          <w:sz w:val="32"/>
          <w:szCs w:val="32"/>
          <w:highlight w:val="none"/>
          <w:lang w:val="en-US" w:eastAsia="zh-CN"/>
        </w:rPr>
        <w:t>1865.38</w:t>
      </w:r>
      <w:r>
        <w:rPr>
          <w:rFonts w:hint="eastAsia" w:ascii="Times New Roman" w:hAnsi="Times New Roman" w:eastAsia="仿宋_GB2312" w:cs="Times New Roman"/>
          <w:sz w:val="32"/>
          <w:szCs w:val="32"/>
          <w:highlight w:val="none"/>
        </w:rPr>
        <w:t>万元（不含财政拨款上年未列支结转收支数）。总收入较上年减少</w:t>
      </w:r>
      <w:r>
        <w:rPr>
          <w:rFonts w:hint="eastAsia" w:ascii="Times New Roman" w:hAnsi="Times New Roman" w:eastAsia="仿宋_GB2312" w:cs="Times New Roman"/>
          <w:sz w:val="32"/>
          <w:szCs w:val="32"/>
          <w:highlight w:val="none"/>
          <w:lang w:val="en-US" w:eastAsia="zh-CN"/>
        </w:rPr>
        <w:t>223.42</w:t>
      </w:r>
      <w:r>
        <w:rPr>
          <w:rFonts w:hint="eastAsia" w:ascii="Times New Roman" w:hAnsi="Times New Roman" w:eastAsia="仿宋_GB2312" w:cs="Times New Roman"/>
          <w:sz w:val="32"/>
          <w:szCs w:val="32"/>
          <w:highlight w:val="none"/>
        </w:rPr>
        <w:t>万元，下降</w:t>
      </w:r>
      <w:r>
        <w:rPr>
          <w:rFonts w:hint="eastAsia" w:ascii="Times New Roman" w:hAnsi="Times New Roman" w:eastAsia="仿宋_GB2312" w:cs="Times New Roman"/>
          <w:sz w:val="32"/>
          <w:szCs w:val="32"/>
          <w:highlight w:val="none"/>
          <w:lang w:val="en-US" w:eastAsia="zh-CN"/>
        </w:rPr>
        <w:t>10.7</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，主要原因是按照财政统一工作部署，</w:t>
      </w:r>
      <w:r>
        <w:rPr>
          <w:rFonts w:hint="default" w:ascii="Times New Roman" w:hAnsi="Times New Roman" w:eastAsia="仿宋_GB2312" w:cs="Times New Roman"/>
          <w:sz w:val="32"/>
          <w:szCs w:val="32"/>
          <w:highlight w:val="none"/>
        </w:rPr>
        <w:t>2024</w:t>
      </w:r>
      <w:r>
        <w:rPr>
          <w:rFonts w:hint="eastAsia" w:ascii="Times New Roman" w:hAnsi="Times New Roman" w:eastAsia="仿宋_GB2312" w:cs="Times New Roman"/>
          <w:sz w:val="32"/>
          <w:szCs w:val="32"/>
          <w:highlight w:val="none"/>
        </w:rPr>
        <w:t>年预算不包含上级</w:t>
      </w:r>
      <w:bookmarkStart w:id="0" w:name="_GoBack"/>
      <w:bookmarkEnd w:id="0"/>
      <w:r>
        <w:rPr>
          <w:rFonts w:hint="eastAsia" w:ascii="Times New Roman" w:hAnsi="Times New Roman" w:eastAsia="仿宋_GB2312" w:cs="Times New Roman"/>
          <w:sz w:val="32"/>
          <w:szCs w:val="32"/>
          <w:highlight w:val="none"/>
        </w:rPr>
        <w:t>转移支付。总支出较上年减少</w:t>
      </w:r>
      <w:r>
        <w:rPr>
          <w:rFonts w:hint="eastAsia" w:ascii="Times New Roman" w:hAnsi="Times New Roman" w:eastAsia="仿宋_GB2312" w:cs="Times New Roman"/>
          <w:sz w:val="32"/>
          <w:szCs w:val="32"/>
          <w:highlight w:val="none"/>
          <w:lang w:val="en-US" w:eastAsia="zh-CN"/>
        </w:rPr>
        <w:t>223.42</w:t>
      </w:r>
      <w:r>
        <w:rPr>
          <w:rFonts w:hint="eastAsia" w:ascii="Times New Roman" w:hAnsi="Times New Roman" w:eastAsia="仿宋_GB2312" w:cs="Times New Roman"/>
          <w:sz w:val="32"/>
          <w:szCs w:val="32"/>
          <w:highlight w:val="none"/>
        </w:rPr>
        <w:t>万元，下降</w:t>
      </w:r>
      <w:r>
        <w:rPr>
          <w:rFonts w:hint="eastAsia" w:ascii="Times New Roman" w:hAnsi="Times New Roman" w:eastAsia="仿宋_GB2312" w:cs="Times New Roman"/>
          <w:sz w:val="32"/>
          <w:szCs w:val="32"/>
          <w:highlight w:val="none"/>
          <w:lang w:val="en-US" w:eastAsia="zh-CN"/>
        </w:rPr>
        <w:t>10.7</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，主要原因是按照财政统一工作部署，</w:t>
      </w:r>
      <w:r>
        <w:rPr>
          <w:rFonts w:hint="default" w:ascii="Times New Roman" w:hAnsi="Times New Roman" w:eastAsia="仿宋_GB2312" w:cs="Times New Roman"/>
          <w:sz w:val="32"/>
          <w:szCs w:val="32"/>
          <w:highlight w:val="none"/>
        </w:rPr>
        <w:t>2024</w:t>
      </w:r>
      <w:r>
        <w:rPr>
          <w:rFonts w:hint="eastAsia" w:ascii="Times New Roman" w:hAnsi="Times New Roman" w:eastAsia="仿宋_GB2312" w:cs="Times New Roman"/>
          <w:sz w:val="32"/>
          <w:szCs w:val="32"/>
          <w:highlight w:val="none"/>
        </w:rPr>
        <w:t>年预算不包含上级转移支付。</w:t>
      </w:r>
    </w:p>
    <w:p>
      <w:pPr>
        <w:tabs>
          <w:tab w:val="center" w:pos="4475"/>
        </w:tabs>
        <w:spacing w:line="560" w:lineRule="exact"/>
        <w:ind w:firstLine="645"/>
        <w:rPr>
          <w:rFonts w:ascii="黑体" w:eastAsia="黑体"/>
          <w:szCs w:val="32"/>
          <w:highlight w:val="none"/>
        </w:rPr>
      </w:pPr>
      <w:r>
        <w:rPr>
          <w:rFonts w:hint="eastAsia" w:ascii="黑体" w:eastAsia="黑体"/>
          <w:szCs w:val="32"/>
          <w:highlight w:val="none"/>
        </w:rPr>
        <w:t>二、部门收入总体情况说明</w:t>
      </w:r>
    </w:p>
    <w:p>
      <w:pPr>
        <w:adjustRightInd w:val="0"/>
        <w:snapToGrid w:val="0"/>
        <w:spacing w:line="586" w:lineRule="exact"/>
        <w:ind w:right="-333" w:rightChars="-104"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我部门总收入</w:t>
      </w:r>
      <w:r>
        <w:rPr>
          <w:rFonts w:hint="eastAsia" w:ascii="Times New Roman" w:hAnsi="Times New Roman" w:eastAsia="仿宋_GB2312" w:cs="Times New Roman"/>
          <w:sz w:val="32"/>
          <w:szCs w:val="32"/>
          <w:highlight w:val="none"/>
          <w:lang w:val="en-US" w:eastAsia="zh-CN"/>
        </w:rPr>
        <w:t>1865.38</w:t>
      </w:r>
      <w:r>
        <w:rPr>
          <w:rFonts w:hint="eastAsia" w:ascii="Times New Roman" w:hAnsi="Times New Roman" w:eastAsia="仿宋_GB2312" w:cs="Times New Roman"/>
          <w:sz w:val="32"/>
          <w:szCs w:val="32"/>
          <w:highlight w:val="none"/>
        </w:rPr>
        <w:t>万元（不含财政拨款上年未列支结转收支数），较上年减少</w:t>
      </w:r>
      <w:r>
        <w:rPr>
          <w:rFonts w:hint="eastAsia" w:ascii="Times New Roman" w:hAnsi="Times New Roman" w:eastAsia="仿宋_GB2312" w:cs="Times New Roman"/>
          <w:sz w:val="32"/>
          <w:szCs w:val="32"/>
          <w:highlight w:val="none"/>
          <w:lang w:val="en-US" w:eastAsia="zh-CN"/>
        </w:rPr>
        <w:t>223.42</w:t>
      </w:r>
      <w:r>
        <w:rPr>
          <w:rFonts w:hint="eastAsia" w:ascii="Times New Roman" w:hAnsi="Times New Roman" w:eastAsia="仿宋_GB2312" w:cs="Times New Roman"/>
          <w:sz w:val="32"/>
          <w:szCs w:val="32"/>
          <w:highlight w:val="none"/>
        </w:rPr>
        <w:t>万元，下降</w:t>
      </w:r>
      <w:r>
        <w:rPr>
          <w:rFonts w:hint="eastAsia" w:ascii="Times New Roman" w:hAnsi="Times New Roman" w:eastAsia="仿宋_GB2312" w:cs="Times New Roman"/>
          <w:sz w:val="32"/>
          <w:szCs w:val="32"/>
          <w:highlight w:val="none"/>
          <w:lang w:val="en-US" w:eastAsia="zh-CN"/>
        </w:rPr>
        <w:t>10.7</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，主要原因是按照财政统一工作部署，</w:t>
      </w:r>
      <w:r>
        <w:rPr>
          <w:rFonts w:hint="default" w:ascii="Times New Roman" w:hAnsi="Times New Roman" w:eastAsia="仿宋_GB2312" w:cs="Times New Roman"/>
          <w:sz w:val="32"/>
          <w:szCs w:val="32"/>
          <w:highlight w:val="none"/>
        </w:rPr>
        <w:t>2024</w:t>
      </w:r>
      <w:r>
        <w:rPr>
          <w:rFonts w:hint="eastAsia" w:ascii="Times New Roman" w:hAnsi="Times New Roman" w:eastAsia="仿宋_GB2312" w:cs="Times New Roman"/>
          <w:sz w:val="32"/>
          <w:szCs w:val="32"/>
          <w:highlight w:val="none"/>
        </w:rPr>
        <w:t>年预算不包含上级转移支付。</w:t>
      </w:r>
    </w:p>
    <w:p>
      <w:pPr>
        <w:tabs>
          <w:tab w:val="center" w:pos="4475"/>
        </w:tabs>
        <w:spacing w:line="560" w:lineRule="exact"/>
        <w:ind w:firstLine="645"/>
        <w:rPr>
          <w:rFonts w:ascii="黑体" w:eastAsia="黑体"/>
          <w:szCs w:val="32"/>
          <w:highlight w:val="none"/>
        </w:rPr>
      </w:pPr>
      <w:r>
        <w:rPr>
          <w:rFonts w:hint="eastAsia" w:ascii="黑体" w:eastAsia="黑体"/>
          <w:szCs w:val="32"/>
          <w:highlight w:val="none"/>
        </w:rPr>
        <w:t>三、部门支出总体情况说明</w:t>
      </w:r>
    </w:p>
    <w:p>
      <w:pPr>
        <w:tabs>
          <w:tab w:val="center" w:pos="4475"/>
        </w:tabs>
        <w:spacing w:line="560" w:lineRule="exact"/>
        <w:ind w:firstLine="645"/>
        <w:rPr>
          <w:rFonts w:ascii="黑体" w:eastAsia="黑体"/>
          <w:szCs w:val="32"/>
          <w:highlight w:val="none"/>
        </w:rPr>
      </w:pPr>
      <w:r>
        <w:rPr>
          <w:rFonts w:hint="eastAsia" w:ascii="Times New Roman" w:hAnsi="Times New Roman" w:eastAsia="仿宋_GB2312" w:cs="Times New Roman"/>
          <w:sz w:val="32"/>
          <w:szCs w:val="32"/>
          <w:highlight w:val="none"/>
        </w:rPr>
        <w:t>我部门总支出</w:t>
      </w:r>
      <w:r>
        <w:rPr>
          <w:rFonts w:hint="eastAsia" w:ascii="Times New Roman" w:hAnsi="Times New Roman" w:eastAsia="仿宋_GB2312" w:cs="Times New Roman"/>
          <w:sz w:val="32"/>
          <w:szCs w:val="32"/>
          <w:highlight w:val="none"/>
          <w:lang w:val="en-US" w:eastAsia="zh-CN"/>
        </w:rPr>
        <w:t>1865.38</w:t>
      </w:r>
      <w:r>
        <w:rPr>
          <w:rFonts w:hint="eastAsia" w:ascii="Times New Roman" w:hAnsi="Times New Roman" w:eastAsia="仿宋_GB2312" w:cs="Times New Roman"/>
          <w:sz w:val="32"/>
          <w:szCs w:val="32"/>
          <w:highlight w:val="none"/>
        </w:rPr>
        <w:t>万元（不含财政拨款上年未列支结转收支数），较上年减少</w:t>
      </w:r>
      <w:r>
        <w:rPr>
          <w:rFonts w:hint="eastAsia" w:ascii="Times New Roman" w:hAnsi="Times New Roman" w:eastAsia="仿宋_GB2312" w:cs="Times New Roman"/>
          <w:sz w:val="32"/>
          <w:szCs w:val="32"/>
          <w:highlight w:val="none"/>
          <w:lang w:val="en-US" w:eastAsia="zh-CN"/>
        </w:rPr>
        <w:t>223.42</w:t>
      </w:r>
      <w:r>
        <w:rPr>
          <w:rFonts w:hint="eastAsia" w:ascii="Times New Roman" w:hAnsi="Times New Roman" w:eastAsia="仿宋_GB2312" w:cs="Times New Roman"/>
          <w:sz w:val="32"/>
          <w:szCs w:val="32"/>
          <w:highlight w:val="none"/>
        </w:rPr>
        <w:t>万元，下降</w:t>
      </w:r>
      <w:r>
        <w:rPr>
          <w:rFonts w:hint="eastAsia" w:ascii="Times New Roman" w:hAnsi="Times New Roman" w:eastAsia="仿宋_GB2312" w:cs="Times New Roman"/>
          <w:sz w:val="32"/>
          <w:szCs w:val="32"/>
          <w:highlight w:val="none"/>
          <w:lang w:val="en-US" w:eastAsia="zh-CN"/>
        </w:rPr>
        <w:t>10.7</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，主要原因是按照财政统一工作部署，</w:t>
      </w:r>
      <w:r>
        <w:rPr>
          <w:rFonts w:hint="default" w:ascii="Times New Roman" w:hAnsi="Times New Roman" w:eastAsia="仿宋_GB2312" w:cs="Times New Roman"/>
          <w:sz w:val="32"/>
          <w:szCs w:val="32"/>
          <w:highlight w:val="none"/>
        </w:rPr>
        <w:t>2024</w:t>
      </w:r>
      <w:r>
        <w:rPr>
          <w:rFonts w:hint="eastAsia" w:ascii="Times New Roman" w:hAnsi="Times New Roman" w:eastAsia="仿宋_GB2312" w:cs="Times New Roman"/>
          <w:sz w:val="32"/>
          <w:szCs w:val="32"/>
          <w:highlight w:val="none"/>
        </w:rPr>
        <w:t>年预算不包含上级转移支付。主要包括：一般公共预算支出</w:t>
      </w:r>
      <w:r>
        <w:rPr>
          <w:rFonts w:hint="eastAsia" w:ascii="Times New Roman" w:hAnsi="Times New Roman" w:eastAsia="仿宋_GB2312" w:cs="Times New Roman"/>
          <w:sz w:val="32"/>
          <w:szCs w:val="32"/>
          <w:highlight w:val="none"/>
          <w:lang w:val="en-US" w:eastAsia="zh-CN"/>
        </w:rPr>
        <w:t>1865.38</w:t>
      </w:r>
      <w:r>
        <w:rPr>
          <w:rFonts w:hint="eastAsia" w:ascii="Times New Roman" w:hAnsi="Times New Roman" w:eastAsia="仿宋_GB2312" w:cs="Times New Roman"/>
          <w:sz w:val="32"/>
          <w:szCs w:val="32"/>
          <w:highlight w:val="none"/>
        </w:rPr>
        <w:t>万元，较上年减少</w:t>
      </w:r>
      <w:r>
        <w:rPr>
          <w:rFonts w:hint="eastAsia" w:ascii="Times New Roman" w:hAnsi="Times New Roman" w:eastAsia="仿宋_GB2312" w:cs="Times New Roman"/>
          <w:sz w:val="32"/>
          <w:szCs w:val="32"/>
          <w:highlight w:val="none"/>
          <w:lang w:val="en-US" w:eastAsia="zh-CN"/>
        </w:rPr>
        <w:t>223.42</w:t>
      </w:r>
      <w:r>
        <w:rPr>
          <w:rFonts w:hint="eastAsia" w:ascii="Times New Roman" w:hAnsi="Times New Roman" w:eastAsia="仿宋_GB2312" w:cs="Times New Roman"/>
          <w:sz w:val="32"/>
          <w:szCs w:val="32"/>
          <w:highlight w:val="none"/>
        </w:rPr>
        <w:t>万元，下降</w:t>
      </w:r>
      <w:r>
        <w:rPr>
          <w:rFonts w:hint="eastAsia" w:ascii="Times New Roman" w:hAnsi="Times New Roman" w:eastAsia="仿宋_GB2312" w:cs="Times New Roman"/>
          <w:sz w:val="32"/>
          <w:szCs w:val="32"/>
          <w:highlight w:val="none"/>
          <w:lang w:val="en-US" w:eastAsia="zh-CN"/>
        </w:rPr>
        <w:t>10.7</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，主要原因是按照财政统一工作部署，</w:t>
      </w:r>
      <w:r>
        <w:rPr>
          <w:rFonts w:hint="default" w:ascii="Times New Roman" w:hAnsi="Times New Roman" w:eastAsia="仿宋_GB2312" w:cs="Times New Roman"/>
          <w:sz w:val="32"/>
          <w:szCs w:val="32"/>
          <w:highlight w:val="none"/>
        </w:rPr>
        <w:t>2024</w:t>
      </w:r>
      <w:r>
        <w:rPr>
          <w:rFonts w:hint="eastAsia" w:ascii="Times New Roman" w:hAnsi="Times New Roman" w:eastAsia="仿宋_GB2312" w:cs="Times New Roman"/>
          <w:sz w:val="32"/>
          <w:szCs w:val="32"/>
          <w:highlight w:val="none"/>
        </w:rPr>
        <w:t>年预算不包含上级转移支付。</w:t>
      </w:r>
    </w:p>
    <w:p>
      <w:pPr>
        <w:tabs>
          <w:tab w:val="center" w:pos="4475"/>
        </w:tabs>
        <w:spacing w:line="560" w:lineRule="exact"/>
        <w:ind w:firstLine="645"/>
        <w:rPr>
          <w:rFonts w:ascii="黑体" w:eastAsia="黑体"/>
          <w:szCs w:val="32"/>
          <w:highlight w:val="none"/>
        </w:rPr>
      </w:pPr>
      <w:r>
        <w:rPr>
          <w:rFonts w:hint="eastAsia" w:ascii="黑体" w:eastAsia="黑体"/>
          <w:szCs w:val="32"/>
          <w:highlight w:val="none"/>
        </w:rPr>
        <w:t>四、财政拨款收支总体情况说明</w:t>
      </w:r>
    </w:p>
    <w:p>
      <w:pPr>
        <w:adjustRightInd w:val="0"/>
        <w:snapToGrid w:val="0"/>
        <w:spacing w:line="586" w:lineRule="exact"/>
        <w:ind w:right="-333" w:rightChars="-104"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我部门财政拨款总收入</w:t>
      </w:r>
      <w:r>
        <w:rPr>
          <w:rFonts w:hint="eastAsia" w:ascii="Times New Roman" w:hAnsi="Times New Roman" w:eastAsia="仿宋_GB2312" w:cs="Times New Roman"/>
          <w:sz w:val="32"/>
          <w:szCs w:val="32"/>
          <w:highlight w:val="none"/>
          <w:lang w:val="en-US" w:eastAsia="zh-CN"/>
        </w:rPr>
        <w:t>1865.38</w:t>
      </w:r>
      <w:r>
        <w:rPr>
          <w:rFonts w:hint="eastAsia" w:ascii="Times New Roman" w:hAnsi="Times New Roman" w:eastAsia="仿宋_GB2312" w:cs="Times New Roman"/>
          <w:sz w:val="32"/>
          <w:szCs w:val="32"/>
          <w:highlight w:val="none"/>
        </w:rPr>
        <w:t>万元，总支出</w:t>
      </w:r>
      <w:r>
        <w:rPr>
          <w:rFonts w:hint="eastAsia" w:ascii="Times New Roman" w:hAnsi="Times New Roman" w:eastAsia="仿宋_GB2312" w:cs="Times New Roman"/>
          <w:sz w:val="32"/>
          <w:szCs w:val="32"/>
          <w:highlight w:val="none"/>
          <w:lang w:val="en-US" w:eastAsia="zh-CN"/>
        </w:rPr>
        <w:t>1865.38</w:t>
      </w:r>
      <w:r>
        <w:rPr>
          <w:rFonts w:hint="eastAsia" w:ascii="Times New Roman" w:hAnsi="Times New Roman" w:eastAsia="仿宋_GB2312" w:cs="Times New Roman"/>
          <w:sz w:val="32"/>
          <w:szCs w:val="32"/>
          <w:highlight w:val="none"/>
        </w:rPr>
        <w:t>万元（不含财政拨款上年未列支结转收支数）。财政拨款总收入较上年减少</w:t>
      </w:r>
      <w:r>
        <w:rPr>
          <w:rFonts w:hint="eastAsia" w:ascii="Times New Roman" w:hAnsi="Times New Roman" w:eastAsia="仿宋_GB2312" w:cs="Times New Roman"/>
          <w:sz w:val="32"/>
          <w:szCs w:val="32"/>
          <w:highlight w:val="none"/>
          <w:lang w:val="en-US" w:eastAsia="zh-CN"/>
        </w:rPr>
        <w:t>223.42</w:t>
      </w:r>
      <w:r>
        <w:rPr>
          <w:rFonts w:hint="eastAsia" w:ascii="Times New Roman" w:hAnsi="Times New Roman" w:eastAsia="仿宋_GB2312" w:cs="Times New Roman"/>
          <w:sz w:val="32"/>
          <w:szCs w:val="32"/>
          <w:highlight w:val="none"/>
        </w:rPr>
        <w:t>万元，下降</w:t>
      </w:r>
      <w:r>
        <w:rPr>
          <w:rFonts w:hint="eastAsia" w:ascii="Times New Roman" w:hAnsi="Times New Roman" w:eastAsia="仿宋_GB2312" w:cs="Times New Roman"/>
          <w:sz w:val="32"/>
          <w:szCs w:val="32"/>
          <w:highlight w:val="none"/>
          <w:lang w:val="en-US" w:eastAsia="zh-CN"/>
        </w:rPr>
        <w:t>10.7</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，主要原因是按照财政统一工作部署，</w:t>
      </w:r>
      <w:r>
        <w:rPr>
          <w:rFonts w:hint="default" w:ascii="Times New Roman" w:hAnsi="Times New Roman" w:eastAsia="仿宋_GB2312" w:cs="Times New Roman"/>
          <w:sz w:val="32"/>
          <w:szCs w:val="32"/>
          <w:highlight w:val="none"/>
        </w:rPr>
        <w:t>2024</w:t>
      </w:r>
      <w:r>
        <w:rPr>
          <w:rFonts w:hint="eastAsia" w:ascii="Times New Roman" w:hAnsi="Times New Roman" w:eastAsia="仿宋_GB2312" w:cs="Times New Roman"/>
          <w:sz w:val="32"/>
          <w:szCs w:val="32"/>
          <w:highlight w:val="none"/>
        </w:rPr>
        <w:t>年预算不包含上级转移支付。财政拨款总支出较上年减少</w:t>
      </w:r>
      <w:r>
        <w:rPr>
          <w:rFonts w:hint="eastAsia" w:ascii="Times New Roman" w:hAnsi="Times New Roman" w:eastAsia="仿宋_GB2312" w:cs="Times New Roman"/>
          <w:sz w:val="32"/>
          <w:szCs w:val="32"/>
          <w:highlight w:val="none"/>
          <w:lang w:val="en-US" w:eastAsia="zh-CN"/>
        </w:rPr>
        <w:t>223.42</w:t>
      </w:r>
      <w:r>
        <w:rPr>
          <w:rFonts w:hint="eastAsia" w:ascii="Times New Roman" w:hAnsi="Times New Roman" w:eastAsia="仿宋_GB2312" w:cs="Times New Roman"/>
          <w:sz w:val="32"/>
          <w:szCs w:val="32"/>
          <w:highlight w:val="none"/>
        </w:rPr>
        <w:t>万元，下降</w:t>
      </w:r>
      <w:r>
        <w:rPr>
          <w:rFonts w:hint="eastAsia" w:ascii="Times New Roman" w:hAnsi="Times New Roman" w:eastAsia="仿宋_GB2312" w:cs="Times New Roman"/>
          <w:sz w:val="32"/>
          <w:szCs w:val="32"/>
          <w:highlight w:val="none"/>
          <w:lang w:val="en-US" w:eastAsia="zh-CN"/>
        </w:rPr>
        <w:t>10.7</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，主要原因是按照财政统一工作部署，</w:t>
      </w:r>
      <w:r>
        <w:rPr>
          <w:rFonts w:hint="default" w:ascii="Times New Roman" w:hAnsi="Times New Roman" w:eastAsia="仿宋_GB2312" w:cs="Times New Roman"/>
          <w:sz w:val="32"/>
          <w:szCs w:val="32"/>
          <w:highlight w:val="none"/>
        </w:rPr>
        <w:t>2024</w:t>
      </w:r>
      <w:r>
        <w:rPr>
          <w:rFonts w:hint="eastAsia" w:ascii="Times New Roman" w:hAnsi="Times New Roman" w:eastAsia="仿宋_GB2312" w:cs="Times New Roman"/>
          <w:sz w:val="32"/>
          <w:szCs w:val="32"/>
          <w:highlight w:val="none"/>
        </w:rPr>
        <w:t>年预算不包含上级转移支付。</w:t>
      </w:r>
    </w:p>
    <w:p>
      <w:pPr>
        <w:tabs>
          <w:tab w:val="center" w:pos="4475"/>
        </w:tabs>
        <w:spacing w:line="560" w:lineRule="exact"/>
        <w:ind w:firstLine="645"/>
        <w:rPr>
          <w:rFonts w:ascii="黑体" w:eastAsia="黑体"/>
          <w:szCs w:val="32"/>
          <w:highlight w:val="none"/>
        </w:rPr>
      </w:pPr>
      <w:r>
        <w:rPr>
          <w:rFonts w:hint="eastAsia" w:ascii="黑体" w:eastAsia="黑体"/>
          <w:szCs w:val="32"/>
          <w:highlight w:val="none"/>
        </w:rPr>
        <w:t>五、一般公共预算支出情况说明</w:t>
      </w:r>
    </w:p>
    <w:p>
      <w:pPr>
        <w:adjustRightInd w:val="0"/>
        <w:snapToGrid w:val="0"/>
        <w:spacing w:line="586" w:lineRule="exact"/>
        <w:ind w:right="-333" w:rightChars="-104"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（一）总体情况说明</w:t>
      </w:r>
    </w:p>
    <w:p>
      <w:pPr>
        <w:adjustRightInd w:val="0"/>
        <w:snapToGrid w:val="0"/>
        <w:spacing w:line="586" w:lineRule="exact"/>
        <w:ind w:right="-333" w:rightChars="-104"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我部门一般公共预算支出共</w:t>
      </w:r>
      <w:r>
        <w:rPr>
          <w:rFonts w:hint="eastAsia" w:ascii="Times New Roman" w:hAnsi="Times New Roman" w:eastAsia="仿宋_GB2312" w:cs="Times New Roman"/>
          <w:sz w:val="32"/>
          <w:szCs w:val="32"/>
          <w:highlight w:val="none"/>
          <w:lang w:val="en-US" w:eastAsia="zh-CN"/>
        </w:rPr>
        <w:t>1865.38</w:t>
      </w:r>
      <w:r>
        <w:rPr>
          <w:rFonts w:hint="eastAsia" w:ascii="Times New Roman" w:hAnsi="Times New Roman" w:eastAsia="仿宋_GB2312" w:cs="Times New Roman"/>
          <w:sz w:val="32"/>
          <w:szCs w:val="32"/>
          <w:highlight w:val="none"/>
        </w:rPr>
        <w:t>万元，占总支出预算</w:t>
      </w:r>
      <w:r>
        <w:rPr>
          <w:rFonts w:hint="eastAsia" w:ascii="Times New Roman" w:hAnsi="Times New Roman" w:eastAsia="仿宋_GB2312" w:cs="Times New Roman"/>
          <w:sz w:val="32"/>
          <w:szCs w:val="32"/>
          <w:highlight w:val="none"/>
          <w:lang w:val="en-US" w:eastAsia="zh-CN"/>
        </w:rPr>
        <w:t>100</w:t>
      </w:r>
      <w:r>
        <w:rPr>
          <w:rFonts w:hint="eastAsia" w:ascii="Times New Roman" w:hAnsi="Times New Roman" w:eastAsia="仿宋_GB2312" w:cs="Times New Roman"/>
          <w:sz w:val="32"/>
          <w:szCs w:val="32"/>
          <w:highlight w:val="none"/>
        </w:rPr>
        <w:t>%，较上年减少</w:t>
      </w:r>
      <w:r>
        <w:rPr>
          <w:rFonts w:hint="eastAsia" w:ascii="Times New Roman" w:hAnsi="Times New Roman" w:eastAsia="仿宋_GB2312" w:cs="Times New Roman"/>
          <w:sz w:val="32"/>
          <w:szCs w:val="32"/>
          <w:highlight w:val="none"/>
          <w:lang w:val="en-US" w:eastAsia="zh-CN"/>
        </w:rPr>
        <w:t>223.42</w:t>
      </w:r>
      <w:r>
        <w:rPr>
          <w:rFonts w:hint="eastAsia" w:ascii="Times New Roman" w:hAnsi="Times New Roman" w:eastAsia="仿宋_GB2312" w:cs="Times New Roman"/>
          <w:sz w:val="32"/>
          <w:szCs w:val="32"/>
          <w:highlight w:val="none"/>
        </w:rPr>
        <w:t>万元，下降</w:t>
      </w:r>
      <w:r>
        <w:rPr>
          <w:rFonts w:hint="eastAsia" w:ascii="Times New Roman" w:hAnsi="Times New Roman" w:eastAsia="仿宋_GB2312" w:cs="Times New Roman"/>
          <w:sz w:val="32"/>
          <w:szCs w:val="32"/>
          <w:highlight w:val="none"/>
          <w:lang w:val="en-US" w:eastAsia="zh-CN"/>
        </w:rPr>
        <w:t>10.7</w:t>
      </w:r>
      <w:r>
        <w:rPr>
          <w:rFonts w:hint="eastAsia" w:ascii="Times New Roman" w:hAnsi="Times New Roman" w:eastAsia="仿宋_GB2312" w:cs="Times New Roman"/>
          <w:sz w:val="32"/>
          <w:szCs w:val="32"/>
          <w:highlight w:val="none"/>
        </w:rPr>
        <w:t>%，主要原因是按照财政统一工作部署，2024年预算不包含上级转移支付。</w:t>
      </w:r>
    </w:p>
    <w:p>
      <w:pPr>
        <w:adjustRightInd w:val="0"/>
        <w:snapToGrid w:val="0"/>
        <w:spacing w:line="586" w:lineRule="exact"/>
        <w:ind w:right="-333" w:rightChars="-104"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（二）按支出功能分类科目划分</w:t>
      </w:r>
    </w:p>
    <w:p>
      <w:pPr>
        <w:adjustRightInd w:val="0"/>
        <w:snapToGrid w:val="0"/>
        <w:spacing w:line="586" w:lineRule="exact"/>
        <w:ind w:right="-333" w:rightChars="-104"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）行政运行科目</w:t>
      </w:r>
      <w:r>
        <w:rPr>
          <w:rFonts w:hint="eastAsia" w:ascii="Times New Roman" w:hAnsi="Times New Roman" w:eastAsia="仿宋_GB2312" w:cs="Times New Roman"/>
          <w:sz w:val="32"/>
          <w:szCs w:val="32"/>
          <w:highlight w:val="none"/>
          <w:lang w:val="en-US" w:eastAsia="zh-CN"/>
        </w:rPr>
        <w:t>1124.88</w:t>
      </w:r>
      <w:r>
        <w:rPr>
          <w:rFonts w:hint="eastAsia" w:ascii="Times New Roman" w:hAnsi="Times New Roman" w:eastAsia="仿宋_GB2312" w:cs="Times New Roman"/>
          <w:sz w:val="32"/>
          <w:szCs w:val="32"/>
          <w:highlight w:val="none"/>
        </w:rPr>
        <w:t>万元，占支出总预算</w:t>
      </w:r>
      <w:r>
        <w:rPr>
          <w:rFonts w:hint="eastAsia" w:ascii="Times New Roman" w:hAnsi="Times New Roman" w:eastAsia="仿宋_GB2312" w:cs="Times New Roman"/>
          <w:sz w:val="32"/>
          <w:szCs w:val="32"/>
          <w:highlight w:val="none"/>
          <w:lang w:val="en-US" w:eastAsia="zh-CN"/>
        </w:rPr>
        <w:t>60.30</w:t>
      </w:r>
      <w:r>
        <w:rPr>
          <w:rFonts w:hint="eastAsia" w:ascii="Times New Roman" w:hAnsi="Times New Roman" w:eastAsia="仿宋_GB2312" w:cs="Times New Roman"/>
          <w:sz w:val="32"/>
          <w:szCs w:val="32"/>
          <w:highlight w:val="none"/>
        </w:rPr>
        <w:t>%，同比增加</w:t>
      </w:r>
      <w:r>
        <w:rPr>
          <w:rFonts w:hint="eastAsia" w:ascii="Times New Roman" w:hAnsi="Times New Roman" w:eastAsia="仿宋_GB2312" w:cs="Times New Roman"/>
          <w:sz w:val="32"/>
          <w:szCs w:val="32"/>
          <w:highlight w:val="none"/>
          <w:lang w:val="en-US" w:eastAsia="zh-CN"/>
        </w:rPr>
        <w:t>235.3</w:t>
      </w:r>
      <w:r>
        <w:rPr>
          <w:rFonts w:hint="eastAsia" w:ascii="Times New Roman" w:hAnsi="Times New Roman" w:eastAsia="仿宋_GB2312" w:cs="Times New Roman"/>
          <w:sz w:val="32"/>
          <w:szCs w:val="32"/>
          <w:highlight w:val="none"/>
        </w:rPr>
        <w:t>万元，同比增长</w:t>
      </w:r>
      <w:r>
        <w:rPr>
          <w:rFonts w:hint="eastAsia" w:ascii="Times New Roman" w:hAnsi="Times New Roman" w:eastAsia="仿宋_GB2312" w:cs="Times New Roman"/>
          <w:sz w:val="32"/>
          <w:szCs w:val="32"/>
          <w:highlight w:val="none"/>
          <w:lang w:val="en-US" w:eastAsia="zh-CN"/>
        </w:rPr>
        <w:t>26.45</w:t>
      </w:r>
      <w:r>
        <w:rPr>
          <w:rFonts w:hint="eastAsia" w:ascii="Times New Roman" w:hAnsi="Times New Roman" w:eastAsia="仿宋_GB2312" w:cs="Times New Roman"/>
          <w:sz w:val="32"/>
          <w:szCs w:val="32"/>
          <w:highlight w:val="none"/>
        </w:rPr>
        <w:t>％。</w:t>
      </w:r>
    </w:p>
    <w:p>
      <w:pPr>
        <w:adjustRightInd w:val="0"/>
        <w:snapToGrid w:val="0"/>
        <w:spacing w:line="586" w:lineRule="exact"/>
        <w:ind w:right="-333" w:rightChars="-104"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rPr>
        <w:t>）一般行政管理事务科目</w:t>
      </w:r>
      <w:r>
        <w:rPr>
          <w:rFonts w:hint="eastAsia" w:ascii="Times New Roman" w:hAnsi="Times New Roman" w:eastAsia="仿宋_GB2312" w:cs="Times New Roman"/>
          <w:sz w:val="32"/>
          <w:szCs w:val="32"/>
          <w:highlight w:val="none"/>
          <w:lang w:val="en-US" w:eastAsia="zh-CN"/>
        </w:rPr>
        <w:t>214.42</w:t>
      </w:r>
      <w:r>
        <w:rPr>
          <w:rFonts w:hint="eastAsia" w:ascii="Times New Roman" w:hAnsi="Times New Roman" w:eastAsia="仿宋_GB2312" w:cs="Times New Roman"/>
          <w:sz w:val="32"/>
          <w:szCs w:val="32"/>
          <w:highlight w:val="none"/>
        </w:rPr>
        <w:t>万元，占支出总预算</w:t>
      </w:r>
      <w:r>
        <w:rPr>
          <w:rFonts w:hint="eastAsia" w:ascii="Times New Roman" w:hAnsi="Times New Roman" w:eastAsia="仿宋_GB2312" w:cs="Times New Roman"/>
          <w:sz w:val="32"/>
          <w:szCs w:val="32"/>
          <w:highlight w:val="none"/>
          <w:lang w:val="en-US" w:eastAsia="zh-CN"/>
        </w:rPr>
        <w:t>11.49</w:t>
      </w:r>
      <w:r>
        <w:rPr>
          <w:rFonts w:hint="eastAsia" w:ascii="Times New Roman" w:hAnsi="Times New Roman" w:eastAsia="仿宋_GB2312" w:cs="Times New Roman"/>
          <w:sz w:val="32"/>
          <w:szCs w:val="32"/>
          <w:highlight w:val="none"/>
        </w:rPr>
        <w:t>%，同比减少</w:t>
      </w:r>
      <w:r>
        <w:rPr>
          <w:rFonts w:hint="eastAsia" w:ascii="Times New Roman" w:hAnsi="Times New Roman" w:eastAsia="仿宋_GB2312" w:cs="Times New Roman"/>
          <w:sz w:val="32"/>
          <w:szCs w:val="32"/>
          <w:highlight w:val="none"/>
          <w:lang w:val="en-US" w:eastAsia="zh-CN"/>
        </w:rPr>
        <w:t>390.18</w:t>
      </w:r>
      <w:r>
        <w:rPr>
          <w:rFonts w:hint="eastAsia" w:ascii="Times New Roman" w:hAnsi="Times New Roman" w:eastAsia="仿宋_GB2312" w:cs="Times New Roman"/>
          <w:sz w:val="32"/>
          <w:szCs w:val="32"/>
          <w:highlight w:val="none"/>
        </w:rPr>
        <w:t>万元，同比下降</w:t>
      </w:r>
      <w:r>
        <w:rPr>
          <w:rFonts w:hint="eastAsia" w:ascii="Times New Roman" w:hAnsi="Times New Roman" w:eastAsia="仿宋_GB2312" w:cs="Times New Roman"/>
          <w:sz w:val="32"/>
          <w:szCs w:val="32"/>
          <w:highlight w:val="none"/>
          <w:lang w:val="en-US" w:eastAsia="zh-CN"/>
        </w:rPr>
        <w:t>64.54</w:t>
      </w:r>
      <w:r>
        <w:rPr>
          <w:rFonts w:hint="eastAsia" w:ascii="Times New Roman" w:hAnsi="Times New Roman" w:eastAsia="仿宋_GB2312" w:cs="Times New Roman"/>
          <w:sz w:val="32"/>
          <w:szCs w:val="32"/>
          <w:highlight w:val="none"/>
        </w:rPr>
        <w:t>％。主要原因是按照财政统一工作部署，2024年预算不包含上级转移支付。</w:t>
      </w:r>
    </w:p>
    <w:p>
      <w:pPr>
        <w:adjustRightInd w:val="0"/>
        <w:snapToGrid w:val="0"/>
        <w:spacing w:line="586" w:lineRule="exact"/>
        <w:ind w:right="-333" w:rightChars="-104"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）行政单位离退休科目</w:t>
      </w:r>
      <w:r>
        <w:rPr>
          <w:rFonts w:hint="eastAsia" w:ascii="Times New Roman" w:hAnsi="Times New Roman" w:eastAsia="仿宋_GB2312" w:cs="Times New Roman"/>
          <w:sz w:val="32"/>
          <w:szCs w:val="32"/>
          <w:highlight w:val="none"/>
          <w:lang w:val="en-US" w:eastAsia="zh-CN"/>
        </w:rPr>
        <w:t>38.4</w:t>
      </w:r>
      <w:r>
        <w:rPr>
          <w:rFonts w:hint="eastAsia" w:ascii="Times New Roman" w:hAnsi="Times New Roman" w:eastAsia="仿宋_GB2312" w:cs="Times New Roman"/>
          <w:sz w:val="32"/>
          <w:szCs w:val="32"/>
          <w:highlight w:val="none"/>
        </w:rPr>
        <w:t>万元，占支出总预算</w:t>
      </w:r>
      <w:r>
        <w:rPr>
          <w:rFonts w:hint="eastAsia" w:ascii="Times New Roman" w:hAnsi="Times New Roman" w:eastAsia="仿宋_GB2312" w:cs="Times New Roman"/>
          <w:sz w:val="32"/>
          <w:szCs w:val="32"/>
          <w:highlight w:val="none"/>
          <w:lang w:val="en-US" w:eastAsia="zh-CN"/>
        </w:rPr>
        <w:t>2.06</w:t>
      </w:r>
      <w:r>
        <w:rPr>
          <w:rFonts w:hint="eastAsia" w:ascii="Times New Roman" w:hAnsi="Times New Roman" w:eastAsia="仿宋_GB2312" w:cs="Times New Roman"/>
          <w:sz w:val="32"/>
          <w:szCs w:val="32"/>
          <w:highlight w:val="none"/>
        </w:rPr>
        <w:t>%，同比增加</w:t>
      </w:r>
      <w:r>
        <w:rPr>
          <w:rFonts w:hint="eastAsia" w:ascii="Times New Roman" w:hAnsi="Times New Roman" w:eastAsia="仿宋_GB2312" w:cs="Times New Roman"/>
          <w:sz w:val="32"/>
          <w:szCs w:val="32"/>
          <w:highlight w:val="none"/>
          <w:lang w:val="en-US" w:eastAsia="zh-CN"/>
        </w:rPr>
        <w:t>12.8</w:t>
      </w:r>
      <w:r>
        <w:rPr>
          <w:rFonts w:hint="eastAsia" w:ascii="Times New Roman" w:hAnsi="Times New Roman" w:eastAsia="仿宋_GB2312" w:cs="Times New Roman"/>
          <w:sz w:val="32"/>
          <w:szCs w:val="32"/>
          <w:highlight w:val="none"/>
        </w:rPr>
        <w:t>万元，同比增长</w:t>
      </w:r>
      <w:r>
        <w:rPr>
          <w:rFonts w:hint="eastAsia" w:ascii="Times New Roman" w:hAnsi="Times New Roman" w:eastAsia="仿宋_GB2312" w:cs="Times New Roman"/>
          <w:sz w:val="32"/>
          <w:szCs w:val="32"/>
          <w:highlight w:val="none"/>
          <w:lang w:val="en-US" w:eastAsia="zh-CN"/>
        </w:rPr>
        <w:t>50</w:t>
      </w:r>
      <w:r>
        <w:rPr>
          <w:rFonts w:hint="eastAsia" w:ascii="Times New Roman" w:hAnsi="Times New Roman" w:eastAsia="仿宋_GB2312" w:cs="Times New Roman"/>
          <w:sz w:val="32"/>
          <w:szCs w:val="32"/>
          <w:highlight w:val="none"/>
        </w:rPr>
        <w:t>％。主要原因一是退休人数有增长，二是按照相关文件要求，离退休人员补助标准有所提高。</w:t>
      </w:r>
    </w:p>
    <w:p>
      <w:pPr>
        <w:adjustRightInd w:val="0"/>
        <w:snapToGrid w:val="0"/>
        <w:spacing w:line="586" w:lineRule="exact"/>
        <w:ind w:right="-333" w:rightChars="-104"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）机关事业单位基本养老保险缴费支出科目</w:t>
      </w:r>
      <w:r>
        <w:rPr>
          <w:rFonts w:hint="eastAsia" w:ascii="Times New Roman" w:hAnsi="Times New Roman" w:eastAsia="仿宋_GB2312" w:cs="Times New Roman"/>
          <w:sz w:val="32"/>
          <w:szCs w:val="32"/>
          <w:highlight w:val="none"/>
          <w:lang w:val="en-US" w:eastAsia="zh-CN"/>
        </w:rPr>
        <w:t>151.83</w:t>
      </w:r>
      <w:r>
        <w:rPr>
          <w:rFonts w:hint="eastAsia" w:ascii="Times New Roman" w:hAnsi="Times New Roman" w:eastAsia="仿宋_GB2312" w:cs="Times New Roman"/>
          <w:sz w:val="32"/>
          <w:szCs w:val="32"/>
          <w:highlight w:val="none"/>
        </w:rPr>
        <w:t>万元，占支出总预算</w:t>
      </w:r>
      <w:r>
        <w:rPr>
          <w:rFonts w:hint="eastAsia" w:ascii="Times New Roman" w:hAnsi="Times New Roman" w:eastAsia="仿宋_GB2312" w:cs="Times New Roman"/>
          <w:sz w:val="32"/>
          <w:szCs w:val="32"/>
          <w:highlight w:val="none"/>
          <w:lang w:val="en-US" w:eastAsia="zh-CN"/>
        </w:rPr>
        <w:t>8.14</w:t>
      </w:r>
      <w:r>
        <w:rPr>
          <w:rFonts w:hint="eastAsia" w:ascii="Times New Roman" w:hAnsi="Times New Roman" w:eastAsia="仿宋_GB2312" w:cs="Times New Roman"/>
          <w:sz w:val="32"/>
          <w:szCs w:val="32"/>
          <w:highlight w:val="none"/>
        </w:rPr>
        <w:t>%，同比增加</w:t>
      </w:r>
      <w:r>
        <w:rPr>
          <w:rFonts w:hint="eastAsia" w:ascii="Times New Roman" w:hAnsi="Times New Roman" w:eastAsia="仿宋_GB2312" w:cs="Times New Roman"/>
          <w:sz w:val="32"/>
          <w:szCs w:val="32"/>
          <w:highlight w:val="none"/>
          <w:lang w:val="en-US" w:eastAsia="zh-CN"/>
        </w:rPr>
        <w:t>37.74</w:t>
      </w:r>
      <w:r>
        <w:rPr>
          <w:rFonts w:hint="eastAsia" w:ascii="Times New Roman" w:hAnsi="Times New Roman" w:eastAsia="仿宋_GB2312" w:cs="Times New Roman"/>
          <w:sz w:val="32"/>
          <w:szCs w:val="32"/>
          <w:highlight w:val="none"/>
        </w:rPr>
        <w:t>万元，同比增长</w:t>
      </w:r>
      <w:r>
        <w:rPr>
          <w:rFonts w:hint="eastAsia" w:ascii="Times New Roman" w:hAnsi="Times New Roman" w:eastAsia="仿宋_GB2312" w:cs="Times New Roman"/>
          <w:sz w:val="32"/>
          <w:szCs w:val="32"/>
          <w:highlight w:val="none"/>
          <w:lang w:val="en-US" w:eastAsia="zh-CN"/>
        </w:rPr>
        <w:t>33.08</w:t>
      </w:r>
      <w:r>
        <w:rPr>
          <w:rFonts w:hint="eastAsia" w:ascii="Times New Roman" w:hAnsi="Times New Roman" w:eastAsia="仿宋_GB2312" w:cs="Times New Roman"/>
          <w:sz w:val="32"/>
          <w:szCs w:val="32"/>
          <w:highlight w:val="none"/>
        </w:rPr>
        <w:t>％。</w:t>
      </w:r>
    </w:p>
    <w:p>
      <w:pPr>
        <w:adjustRightInd w:val="0"/>
        <w:snapToGrid w:val="0"/>
        <w:spacing w:line="586" w:lineRule="exact"/>
        <w:ind w:right="-333" w:rightChars="-104"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rPr>
        <w:t>）机关事业单位职业年金缴费支出科目</w:t>
      </w:r>
      <w:r>
        <w:rPr>
          <w:rFonts w:hint="eastAsia" w:ascii="Times New Roman" w:hAnsi="Times New Roman" w:eastAsia="仿宋_GB2312" w:cs="Times New Roman"/>
          <w:sz w:val="32"/>
          <w:szCs w:val="32"/>
          <w:highlight w:val="none"/>
          <w:lang w:val="en-US" w:eastAsia="zh-CN"/>
        </w:rPr>
        <w:t>75.92</w:t>
      </w:r>
      <w:r>
        <w:rPr>
          <w:rFonts w:hint="eastAsia" w:ascii="Times New Roman" w:hAnsi="Times New Roman" w:eastAsia="仿宋_GB2312" w:cs="Times New Roman"/>
          <w:sz w:val="32"/>
          <w:szCs w:val="32"/>
          <w:highlight w:val="none"/>
        </w:rPr>
        <w:t>万元，占支出总预算</w:t>
      </w:r>
      <w:r>
        <w:rPr>
          <w:rFonts w:hint="eastAsia" w:ascii="Times New Roman" w:hAnsi="Times New Roman" w:eastAsia="仿宋_GB2312" w:cs="Times New Roman"/>
          <w:sz w:val="32"/>
          <w:szCs w:val="32"/>
          <w:highlight w:val="none"/>
          <w:lang w:val="en-US" w:eastAsia="zh-CN"/>
        </w:rPr>
        <w:t>4.07</w:t>
      </w:r>
      <w:r>
        <w:rPr>
          <w:rFonts w:hint="eastAsia" w:ascii="Times New Roman" w:hAnsi="Times New Roman" w:eastAsia="仿宋_GB2312" w:cs="Times New Roman"/>
          <w:sz w:val="32"/>
          <w:szCs w:val="32"/>
          <w:highlight w:val="none"/>
        </w:rPr>
        <w:t>%，同比增加</w:t>
      </w:r>
      <w:r>
        <w:rPr>
          <w:rFonts w:hint="eastAsia" w:ascii="Times New Roman" w:hAnsi="Times New Roman" w:eastAsia="仿宋_GB2312" w:cs="Times New Roman"/>
          <w:sz w:val="32"/>
          <w:szCs w:val="32"/>
          <w:highlight w:val="none"/>
          <w:lang w:val="en-US" w:eastAsia="zh-CN"/>
        </w:rPr>
        <w:t>18.88</w:t>
      </w:r>
      <w:r>
        <w:rPr>
          <w:rFonts w:hint="eastAsia" w:ascii="Times New Roman" w:hAnsi="Times New Roman" w:eastAsia="仿宋_GB2312" w:cs="Times New Roman"/>
          <w:sz w:val="32"/>
          <w:szCs w:val="32"/>
          <w:highlight w:val="none"/>
        </w:rPr>
        <w:t>万元，同比增长</w:t>
      </w:r>
      <w:r>
        <w:rPr>
          <w:rFonts w:hint="eastAsia" w:ascii="Times New Roman" w:hAnsi="Times New Roman" w:eastAsia="仿宋_GB2312" w:cs="Times New Roman"/>
          <w:sz w:val="32"/>
          <w:szCs w:val="32"/>
          <w:highlight w:val="none"/>
          <w:lang w:val="en-US" w:eastAsia="zh-CN"/>
        </w:rPr>
        <w:t>24.87</w:t>
      </w:r>
      <w:r>
        <w:rPr>
          <w:rFonts w:hint="eastAsia" w:ascii="Times New Roman" w:hAnsi="Times New Roman" w:eastAsia="仿宋_GB2312" w:cs="Times New Roman"/>
          <w:sz w:val="32"/>
          <w:szCs w:val="32"/>
          <w:highlight w:val="none"/>
        </w:rPr>
        <w:t>％。</w:t>
      </w:r>
    </w:p>
    <w:p>
      <w:pPr>
        <w:adjustRightInd w:val="0"/>
        <w:snapToGrid w:val="0"/>
        <w:spacing w:line="586" w:lineRule="exact"/>
        <w:ind w:right="-333" w:rightChars="-104"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7</w:t>
      </w:r>
      <w:r>
        <w:rPr>
          <w:rFonts w:hint="eastAsia" w:ascii="Times New Roman" w:hAnsi="Times New Roman" w:eastAsia="仿宋_GB2312" w:cs="Times New Roman"/>
          <w:sz w:val="32"/>
          <w:szCs w:val="32"/>
          <w:highlight w:val="none"/>
        </w:rPr>
        <w:t>）行政单位医疗科目</w:t>
      </w:r>
      <w:r>
        <w:rPr>
          <w:rFonts w:hint="eastAsia" w:ascii="Times New Roman" w:hAnsi="Times New Roman" w:eastAsia="仿宋_GB2312" w:cs="Times New Roman"/>
          <w:sz w:val="32"/>
          <w:szCs w:val="32"/>
          <w:highlight w:val="none"/>
          <w:lang w:val="en-US" w:eastAsia="zh-CN"/>
        </w:rPr>
        <w:t>87.3</w:t>
      </w:r>
      <w:r>
        <w:rPr>
          <w:rFonts w:hint="eastAsia" w:ascii="Times New Roman" w:hAnsi="Times New Roman" w:eastAsia="仿宋_GB2312" w:cs="Times New Roman"/>
          <w:sz w:val="32"/>
          <w:szCs w:val="32"/>
          <w:highlight w:val="none"/>
        </w:rPr>
        <w:t>万元，占支出总预算</w:t>
      </w:r>
      <w:r>
        <w:rPr>
          <w:rFonts w:hint="eastAsia" w:ascii="Times New Roman" w:hAnsi="Times New Roman" w:eastAsia="仿宋_GB2312" w:cs="Times New Roman"/>
          <w:sz w:val="32"/>
          <w:szCs w:val="32"/>
          <w:highlight w:val="none"/>
          <w:lang w:val="en-US" w:eastAsia="zh-CN"/>
        </w:rPr>
        <w:t>4.68</w:t>
      </w:r>
      <w:r>
        <w:rPr>
          <w:rFonts w:hint="eastAsia" w:ascii="Times New Roman" w:hAnsi="Times New Roman" w:eastAsia="仿宋_GB2312" w:cs="Times New Roman"/>
          <w:sz w:val="32"/>
          <w:szCs w:val="32"/>
          <w:highlight w:val="none"/>
        </w:rPr>
        <w:t>%，同比增加</w:t>
      </w:r>
      <w:r>
        <w:rPr>
          <w:rFonts w:hint="eastAsia" w:ascii="Times New Roman" w:hAnsi="Times New Roman" w:eastAsia="仿宋_GB2312" w:cs="Times New Roman"/>
          <w:sz w:val="32"/>
          <w:szCs w:val="32"/>
          <w:highlight w:val="none"/>
          <w:lang w:val="en-US" w:eastAsia="zh-CN"/>
        </w:rPr>
        <w:t>21.7</w:t>
      </w:r>
      <w:r>
        <w:rPr>
          <w:rFonts w:hint="eastAsia" w:ascii="Times New Roman" w:hAnsi="Times New Roman" w:eastAsia="仿宋_GB2312" w:cs="Times New Roman"/>
          <w:sz w:val="32"/>
          <w:szCs w:val="32"/>
          <w:highlight w:val="none"/>
        </w:rPr>
        <w:t>万元，同比增长</w:t>
      </w:r>
      <w:r>
        <w:rPr>
          <w:rFonts w:hint="eastAsia" w:ascii="Times New Roman" w:hAnsi="Times New Roman" w:eastAsia="仿宋_GB2312" w:cs="Times New Roman"/>
          <w:sz w:val="32"/>
          <w:szCs w:val="32"/>
          <w:highlight w:val="none"/>
          <w:lang w:val="en-US" w:eastAsia="zh-CN"/>
        </w:rPr>
        <w:t>33.08</w:t>
      </w:r>
      <w:r>
        <w:rPr>
          <w:rFonts w:hint="eastAsia" w:ascii="Times New Roman" w:hAnsi="Times New Roman" w:eastAsia="仿宋_GB2312" w:cs="Times New Roman"/>
          <w:sz w:val="32"/>
          <w:szCs w:val="32"/>
          <w:highlight w:val="none"/>
        </w:rPr>
        <w:t>％。</w:t>
      </w:r>
    </w:p>
    <w:p>
      <w:pPr>
        <w:adjustRightInd w:val="0"/>
        <w:snapToGrid w:val="0"/>
        <w:spacing w:line="586" w:lineRule="exact"/>
        <w:ind w:right="-333" w:rightChars="-104"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rPr>
        <w:t>）公务员医疗补助科目</w:t>
      </w:r>
      <w:r>
        <w:rPr>
          <w:rFonts w:hint="eastAsia" w:ascii="Times New Roman" w:hAnsi="Times New Roman" w:eastAsia="仿宋_GB2312" w:cs="Times New Roman"/>
          <w:sz w:val="32"/>
          <w:szCs w:val="32"/>
          <w:highlight w:val="none"/>
          <w:lang w:val="en-US" w:eastAsia="zh-CN"/>
        </w:rPr>
        <w:t>58.77</w:t>
      </w:r>
      <w:r>
        <w:rPr>
          <w:rFonts w:hint="eastAsia" w:ascii="Times New Roman" w:hAnsi="Times New Roman" w:eastAsia="仿宋_GB2312" w:cs="Times New Roman"/>
          <w:sz w:val="32"/>
          <w:szCs w:val="32"/>
          <w:highlight w:val="none"/>
        </w:rPr>
        <w:t>万元，占支出总预算</w:t>
      </w:r>
      <w:r>
        <w:rPr>
          <w:rFonts w:hint="eastAsia" w:ascii="Times New Roman" w:hAnsi="Times New Roman" w:eastAsia="仿宋_GB2312" w:cs="Times New Roman"/>
          <w:sz w:val="32"/>
          <w:szCs w:val="32"/>
          <w:highlight w:val="none"/>
          <w:lang w:val="en-US" w:eastAsia="zh-CN"/>
        </w:rPr>
        <w:t>3.15</w:t>
      </w:r>
      <w:r>
        <w:rPr>
          <w:rFonts w:hint="eastAsia" w:ascii="Times New Roman" w:hAnsi="Times New Roman" w:eastAsia="仿宋_GB2312" w:cs="Times New Roman"/>
          <w:sz w:val="32"/>
          <w:szCs w:val="32"/>
          <w:highlight w:val="none"/>
        </w:rPr>
        <w:t>%，同比增加</w:t>
      </w:r>
      <w:r>
        <w:rPr>
          <w:rFonts w:hint="eastAsia" w:ascii="Times New Roman" w:hAnsi="Times New Roman" w:eastAsia="仿宋_GB2312" w:cs="Times New Roman"/>
          <w:sz w:val="32"/>
          <w:szCs w:val="32"/>
          <w:highlight w:val="none"/>
          <w:lang w:val="en-US" w:eastAsia="zh-CN"/>
        </w:rPr>
        <w:t>12.05</w:t>
      </w:r>
      <w:r>
        <w:rPr>
          <w:rFonts w:hint="eastAsia" w:ascii="Times New Roman" w:hAnsi="Times New Roman" w:eastAsia="仿宋_GB2312" w:cs="Times New Roman"/>
          <w:sz w:val="32"/>
          <w:szCs w:val="32"/>
          <w:highlight w:val="none"/>
        </w:rPr>
        <w:t>万元，同比增长</w:t>
      </w:r>
      <w:r>
        <w:rPr>
          <w:rFonts w:hint="eastAsia" w:ascii="Times New Roman" w:hAnsi="Times New Roman" w:eastAsia="仿宋_GB2312" w:cs="Times New Roman"/>
          <w:sz w:val="32"/>
          <w:szCs w:val="32"/>
          <w:highlight w:val="none"/>
          <w:lang w:val="en-US" w:eastAsia="zh-CN"/>
        </w:rPr>
        <w:t>25.79</w:t>
      </w:r>
      <w:r>
        <w:rPr>
          <w:rFonts w:hint="eastAsia" w:ascii="Times New Roman" w:hAnsi="Times New Roman" w:eastAsia="仿宋_GB2312" w:cs="Times New Roman"/>
          <w:sz w:val="32"/>
          <w:szCs w:val="32"/>
          <w:highlight w:val="none"/>
        </w:rPr>
        <w:t>％。</w:t>
      </w:r>
    </w:p>
    <w:p>
      <w:pPr>
        <w:adjustRightInd w:val="0"/>
        <w:snapToGrid w:val="0"/>
        <w:spacing w:line="586" w:lineRule="exact"/>
        <w:ind w:right="-333" w:rightChars="-104"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9</w:t>
      </w:r>
      <w:r>
        <w:rPr>
          <w:rFonts w:hint="eastAsia" w:ascii="Times New Roman" w:hAnsi="Times New Roman" w:eastAsia="仿宋_GB2312" w:cs="Times New Roman"/>
          <w:sz w:val="32"/>
          <w:szCs w:val="32"/>
          <w:highlight w:val="none"/>
        </w:rPr>
        <w:t>）住房公积金支出科目</w:t>
      </w:r>
      <w:r>
        <w:rPr>
          <w:rFonts w:hint="eastAsia" w:ascii="Times New Roman" w:hAnsi="Times New Roman" w:eastAsia="仿宋_GB2312" w:cs="Times New Roman"/>
          <w:sz w:val="32"/>
          <w:szCs w:val="32"/>
          <w:highlight w:val="none"/>
          <w:lang w:val="en-US" w:eastAsia="zh-CN"/>
        </w:rPr>
        <w:t>113.87</w:t>
      </w:r>
      <w:r>
        <w:rPr>
          <w:rFonts w:hint="eastAsia" w:ascii="Times New Roman" w:hAnsi="Times New Roman" w:eastAsia="仿宋_GB2312" w:cs="Times New Roman"/>
          <w:sz w:val="32"/>
          <w:szCs w:val="32"/>
          <w:highlight w:val="none"/>
        </w:rPr>
        <w:t>万元，占支出总预算</w:t>
      </w:r>
      <w:r>
        <w:rPr>
          <w:rFonts w:hint="eastAsia" w:ascii="Times New Roman" w:hAnsi="Times New Roman" w:eastAsia="仿宋_GB2312" w:cs="Times New Roman"/>
          <w:sz w:val="32"/>
          <w:szCs w:val="32"/>
          <w:highlight w:val="none"/>
          <w:lang w:val="en-US" w:eastAsia="zh-CN"/>
        </w:rPr>
        <w:t>6.11</w:t>
      </w:r>
      <w:r>
        <w:rPr>
          <w:rFonts w:hint="eastAsia" w:ascii="Times New Roman" w:hAnsi="Times New Roman" w:eastAsia="仿宋_GB2312" w:cs="Times New Roman"/>
          <w:sz w:val="32"/>
          <w:szCs w:val="32"/>
          <w:highlight w:val="none"/>
        </w:rPr>
        <w:t>%，同比增加</w:t>
      </w:r>
      <w:r>
        <w:rPr>
          <w:rFonts w:hint="eastAsia" w:ascii="Times New Roman" w:hAnsi="Times New Roman" w:eastAsia="仿宋_GB2312" w:cs="Times New Roman"/>
          <w:sz w:val="32"/>
          <w:szCs w:val="32"/>
          <w:highlight w:val="none"/>
          <w:lang w:val="en-US" w:eastAsia="zh-CN"/>
        </w:rPr>
        <w:t>28.31</w:t>
      </w:r>
      <w:r>
        <w:rPr>
          <w:rFonts w:hint="eastAsia" w:ascii="Times New Roman" w:hAnsi="Times New Roman" w:eastAsia="仿宋_GB2312" w:cs="Times New Roman"/>
          <w:sz w:val="32"/>
          <w:szCs w:val="32"/>
          <w:highlight w:val="none"/>
        </w:rPr>
        <w:t>万元，同比增长</w:t>
      </w:r>
      <w:r>
        <w:rPr>
          <w:rFonts w:hint="eastAsia" w:ascii="Times New Roman" w:hAnsi="Times New Roman" w:eastAsia="仿宋_GB2312" w:cs="Times New Roman"/>
          <w:sz w:val="32"/>
          <w:szCs w:val="32"/>
          <w:highlight w:val="none"/>
          <w:lang w:val="en-US" w:eastAsia="zh-CN"/>
        </w:rPr>
        <w:t>33.09</w:t>
      </w:r>
      <w:r>
        <w:rPr>
          <w:rFonts w:hint="eastAsia" w:ascii="Times New Roman" w:hAnsi="Times New Roman" w:eastAsia="仿宋_GB2312" w:cs="Times New Roman"/>
          <w:sz w:val="32"/>
          <w:szCs w:val="32"/>
          <w:highlight w:val="none"/>
        </w:rPr>
        <w:t>％。</w:t>
      </w:r>
    </w:p>
    <w:p>
      <w:pPr>
        <w:tabs>
          <w:tab w:val="center" w:pos="4475"/>
        </w:tabs>
        <w:spacing w:line="560" w:lineRule="exact"/>
        <w:ind w:firstLine="645"/>
        <w:rPr>
          <w:rFonts w:ascii="黑体" w:eastAsia="黑体"/>
          <w:szCs w:val="32"/>
          <w:highlight w:val="none"/>
        </w:rPr>
      </w:pPr>
      <w:r>
        <w:rPr>
          <w:rFonts w:hint="eastAsia" w:ascii="黑体" w:eastAsia="黑体"/>
          <w:szCs w:val="32"/>
          <w:highlight w:val="none"/>
        </w:rPr>
        <w:t>六、一般公共预算基本支出情况说明</w:t>
      </w:r>
    </w:p>
    <w:p>
      <w:pPr>
        <w:adjustRightInd w:val="0"/>
        <w:snapToGrid w:val="0"/>
        <w:spacing w:line="586" w:lineRule="exact"/>
        <w:ind w:right="-333" w:rightChars="-104"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我部门一般公共预算基本支出共</w:t>
      </w:r>
      <w:r>
        <w:rPr>
          <w:rFonts w:hint="eastAsia" w:ascii="Times New Roman" w:hAnsi="Times New Roman" w:eastAsia="仿宋_GB2312" w:cs="Times New Roman"/>
          <w:sz w:val="32"/>
          <w:szCs w:val="32"/>
          <w:highlight w:val="none"/>
          <w:lang w:val="en-US" w:eastAsia="zh-CN"/>
        </w:rPr>
        <w:t>1785.24</w:t>
      </w:r>
      <w:r>
        <w:rPr>
          <w:rFonts w:hint="eastAsia" w:ascii="Times New Roman" w:hAnsi="Times New Roman" w:eastAsia="仿宋_GB2312" w:cs="Times New Roman"/>
          <w:sz w:val="32"/>
          <w:szCs w:val="32"/>
          <w:highlight w:val="none"/>
        </w:rPr>
        <w:t>万元，占支出总预算</w:t>
      </w:r>
      <w:r>
        <w:rPr>
          <w:rFonts w:hint="eastAsia" w:ascii="Times New Roman" w:hAnsi="Times New Roman" w:eastAsia="仿宋_GB2312" w:cs="Times New Roman"/>
          <w:sz w:val="32"/>
          <w:szCs w:val="32"/>
          <w:highlight w:val="none"/>
          <w:lang w:val="en-US" w:eastAsia="zh-CN"/>
        </w:rPr>
        <w:t>95.70</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，同比增加</w:t>
      </w:r>
      <w:r>
        <w:rPr>
          <w:rFonts w:hint="eastAsia" w:ascii="Times New Roman" w:hAnsi="Times New Roman" w:eastAsia="仿宋_GB2312" w:cs="Times New Roman"/>
          <w:sz w:val="32"/>
          <w:szCs w:val="32"/>
          <w:highlight w:val="none"/>
          <w:lang w:val="en-US" w:eastAsia="zh-CN"/>
        </w:rPr>
        <w:t>384.32</w:t>
      </w:r>
      <w:r>
        <w:rPr>
          <w:rFonts w:hint="eastAsia" w:ascii="Times New Roman" w:hAnsi="Times New Roman" w:eastAsia="仿宋_GB2312" w:cs="Times New Roman"/>
          <w:sz w:val="32"/>
          <w:szCs w:val="32"/>
          <w:highlight w:val="none"/>
        </w:rPr>
        <w:t>万元，同比增长</w:t>
      </w:r>
      <w:r>
        <w:rPr>
          <w:rFonts w:hint="eastAsia" w:ascii="Times New Roman" w:hAnsi="Times New Roman" w:eastAsia="仿宋_GB2312" w:cs="Times New Roman"/>
          <w:sz w:val="32"/>
          <w:szCs w:val="32"/>
          <w:highlight w:val="none"/>
          <w:lang w:val="en-US" w:eastAsia="zh-CN"/>
        </w:rPr>
        <w:t>27.43</w:t>
      </w:r>
      <w:r>
        <w:rPr>
          <w:rFonts w:hint="eastAsia" w:ascii="Times New Roman" w:hAnsi="Times New Roman" w:eastAsia="仿宋_GB2312" w:cs="Times New Roman"/>
          <w:sz w:val="32"/>
          <w:szCs w:val="32"/>
          <w:highlight w:val="none"/>
        </w:rPr>
        <w:t>％，主要原因是人员经费增长。具体情况为：工资福利支出</w:t>
      </w:r>
      <w:r>
        <w:rPr>
          <w:rFonts w:hint="eastAsia" w:ascii="Times New Roman" w:hAnsi="Times New Roman" w:eastAsia="仿宋_GB2312" w:cs="Times New Roman"/>
          <w:sz w:val="32"/>
          <w:szCs w:val="32"/>
          <w:highlight w:val="none"/>
          <w:lang w:val="en-US" w:eastAsia="zh-CN"/>
        </w:rPr>
        <w:t>1562.88</w:t>
      </w:r>
      <w:r>
        <w:rPr>
          <w:rFonts w:hint="eastAsia" w:ascii="Times New Roman" w:hAnsi="Times New Roman" w:eastAsia="仿宋_GB2312" w:cs="Times New Roman"/>
          <w:sz w:val="32"/>
          <w:szCs w:val="32"/>
          <w:highlight w:val="none"/>
        </w:rPr>
        <w:t>万元，主要包括：基本工资、津贴补贴、奖金、机关事业单位基本养老保险缴费、职业年金缴费、职工基本医疗保险缴费、公务员医疗补助缴费、其他社会保障缴费、住房公积金、其他工资福利支出；商品和服务支出</w:t>
      </w:r>
      <w:r>
        <w:rPr>
          <w:rFonts w:hint="eastAsia" w:ascii="Times New Roman" w:hAnsi="Times New Roman" w:eastAsia="仿宋_GB2312" w:cs="Times New Roman"/>
          <w:sz w:val="32"/>
          <w:szCs w:val="32"/>
          <w:highlight w:val="none"/>
          <w:lang w:val="en-US" w:eastAsia="zh-CN"/>
        </w:rPr>
        <w:t>175.41</w:t>
      </w:r>
      <w:r>
        <w:rPr>
          <w:rFonts w:hint="eastAsia" w:ascii="Times New Roman" w:hAnsi="Times New Roman" w:eastAsia="仿宋_GB2312" w:cs="Times New Roman"/>
          <w:sz w:val="32"/>
          <w:szCs w:val="32"/>
          <w:highlight w:val="none"/>
        </w:rPr>
        <w:t>万元，主要包括：办公费、印刷费、水费、电费、邮电费、差旅费、维修（护）费、会议费、培训费、公务接待费、工会经费、福利费、公务用车运行维护费、其他交通费用、其他商品和服务支出；对个人和家庭的补助</w:t>
      </w:r>
      <w:r>
        <w:rPr>
          <w:rFonts w:hint="eastAsia" w:ascii="Times New Roman" w:hAnsi="Times New Roman" w:eastAsia="仿宋_GB2312" w:cs="Times New Roman"/>
          <w:sz w:val="32"/>
          <w:szCs w:val="32"/>
          <w:highlight w:val="none"/>
          <w:lang w:val="en-US" w:eastAsia="zh-CN"/>
        </w:rPr>
        <w:t>46.95</w:t>
      </w:r>
      <w:r>
        <w:rPr>
          <w:rFonts w:hint="eastAsia" w:ascii="Times New Roman" w:hAnsi="Times New Roman" w:eastAsia="仿宋_GB2312" w:cs="Times New Roman"/>
          <w:sz w:val="32"/>
          <w:szCs w:val="32"/>
          <w:highlight w:val="none"/>
        </w:rPr>
        <w:t>万元，主要包括：退休费、生活补助、医疗费补助。</w:t>
      </w:r>
    </w:p>
    <w:p>
      <w:pPr>
        <w:tabs>
          <w:tab w:val="center" w:pos="4475"/>
        </w:tabs>
        <w:spacing w:line="560" w:lineRule="exact"/>
        <w:ind w:firstLine="645"/>
        <w:rPr>
          <w:rFonts w:ascii="黑体" w:eastAsia="黑体"/>
          <w:szCs w:val="32"/>
          <w:highlight w:val="none"/>
        </w:rPr>
      </w:pPr>
      <w:r>
        <w:rPr>
          <w:rFonts w:hint="eastAsia" w:ascii="黑体" w:eastAsia="黑体"/>
          <w:szCs w:val="32"/>
          <w:highlight w:val="none"/>
        </w:rPr>
        <w:t>七、一般公共预算“三公”经费支出情况说明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我部门</w:t>
      </w:r>
      <w:r>
        <w:rPr>
          <w:rFonts w:hint="default" w:ascii="Times New Roman" w:hAnsi="Times New Roman" w:eastAsia="仿宋_GB2312" w:cs="Times New Roman"/>
          <w:kern w:val="2"/>
          <w:sz w:val="32"/>
          <w:szCs w:val="32"/>
          <w:highlight w:val="none"/>
          <w:lang w:val="en-US" w:eastAsia="zh-CN" w:bidi="ar-SA"/>
        </w:rPr>
        <w:t>2024</w:t>
      </w:r>
      <w:r>
        <w:rPr>
          <w:rFonts w:hint="eastAsia" w:ascii="Times New Roman" w:hAnsi="Times New Roman" w:eastAsia="仿宋_GB2312" w:cs="Times New Roman"/>
          <w:kern w:val="2"/>
          <w:sz w:val="32"/>
          <w:szCs w:val="32"/>
          <w:highlight w:val="none"/>
          <w:lang w:val="en-US" w:eastAsia="zh-CN" w:bidi="ar-SA"/>
        </w:rPr>
        <w:t>年一般公共预算安排的“三公”经费支出预算21.91万元，同口径比</w:t>
      </w:r>
      <w:r>
        <w:rPr>
          <w:rFonts w:hint="default" w:ascii="Times New Roman" w:hAnsi="Times New Roman" w:eastAsia="仿宋_GB2312" w:cs="Times New Roman"/>
          <w:kern w:val="2"/>
          <w:sz w:val="32"/>
          <w:szCs w:val="32"/>
          <w:highlight w:val="none"/>
          <w:lang w:val="en-US" w:eastAsia="zh-CN" w:bidi="ar-SA"/>
        </w:rPr>
        <w:t>2023</w:t>
      </w:r>
      <w:r>
        <w:rPr>
          <w:rFonts w:hint="eastAsia" w:ascii="Times New Roman" w:hAnsi="Times New Roman" w:eastAsia="仿宋_GB2312" w:cs="Times New Roman"/>
          <w:kern w:val="2"/>
          <w:sz w:val="32"/>
          <w:szCs w:val="32"/>
          <w:highlight w:val="none"/>
          <w:lang w:val="en-US" w:eastAsia="zh-CN" w:bidi="ar-SA"/>
        </w:rPr>
        <w:t>年减少5.45万元，下降24.87</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，具体如下：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rPr>
          <w:rFonts w:hint="eastAsia"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w:t>
      </w:r>
      <w:r>
        <w:rPr>
          <w:rFonts w:hint="eastAsia" w:ascii="Times New Roman" w:hAnsi="Times New Roman" w:eastAsia="仿宋_GB2312" w:cs="Times New Roman"/>
          <w:kern w:val="2"/>
          <w:sz w:val="32"/>
          <w:szCs w:val="32"/>
          <w:highlight w:val="none"/>
          <w:lang w:val="en-US" w:eastAsia="zh-CN" w:bidi="ar-SA"/>
        </w:rPr>
        <w:t>因公出国（境）费</w:t>
      </w:r>
      <w:r>
        <w:rPr>
          <w:rFonts w:hint="default" w:ascii="Times New Roman" w:hAnsi="Times New Roman" w:eastAsia="仿宋_GB2312" w:cs="Times New Roman"/>
          <w:kern w:val="2"/>
          <w:sz w:val="32"/>
          <w:szCs w:val="32"/>
          <w:highlight w:val="none"/>
          <w:lang w:val="en-US" w:eastAsia="zh-CN" w:bidi="ar-SA"/>
        </w:rPr>
        <w:t>2024</w:t>
      </w:r>
      <w:r>
        <w:rPr>
          <w:rFonts w:hint="eastAsia" w:ascii="Times New Roman" w:hAnsi="Times New Roman" w:eastAsia="仿宋_GB2312" w:cs="Times New Roman"/>
          <w:kern w:val="2"/>
          <w:sz w:val="32"/>
          <w:szCs w:val="32"/>
          <w:highlight w:val="none"/>
          <w:lang w:val="en-US" w:eastAsia="zh-CN" w:bidi="ar-SA"/>
        </w:rPr>
        <w:t>年预算安排</w:t>
      </w:r>
      <w:r>
        <w:rPr>
          <w:rFonts w:hint="default" w:ascii="Times New Roman" w:hAnsi="Times New Roman" w:eastAsia="仿宋_GB2312" w:cs="Times New Roman"/>
          <w:kern w:val="2"/>
          <w:sz w:val="32"/>
          <w:szCs w:val="32"/>
          <w:highlight w:val="none"/>
          <w:lang w:val="en-US" w:eastAsia="zh-CN" w:bidi="ar-SA"/>
        </w:rPr>
        <w:t>0</w:t>
      </w:r>
      <w:r>
        <w:rPr>
          <w:rFonts w:hint="eastAsia" w:ascii="Times New Roman" w:hAnsi="Times New Roman" w:eastAsia="仿宋_GB2312" w:cs="Times New Roman"/>
          <w:kern w:val="2"/>
          <w:sz w:val="32"/>
          <w:szCs w:val="32"/>
          <w:highlight w:val="none"/>
          <w:lang w:val="en-US" w:eastAsia="zh-CN" w:bidi="ar-SA"/>
        </w:rPr>
        <w:t>万元，与上年持平。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rPr>
          <w:rFonts w:hint="eastAsia"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w:t>
      </w:r>
      <w:r>
        <w:rPr>
          <w:rFonts w:hint="eastAsia" w:ascii="Times New Roman" w:hAnsi="Times New Roman" w:eastAsia="仿宋_GB2312" w:cs="Times New Roman"/>
          <w:kern w:val="2"/>
          <w:sz w:val="32"/>
          <w:szCs w:val="32"/>
          <w:highlight w:val="none"/>
          <w:lang w:val="en-US" w:eastAsia="zh-CN" w:bidi="ar-SA"/>
        </w:rPr>
        <w:t>公务接待费</w:t>
      </w:r>
      <w:r>
        <w:rPr>
          <w:rFonts w:hint="default" w:ascii="Times New Roman" w:hAnsi="Times New Roman" w:eastAsia="仿宋_GB2312" w:cs="Times New Roman"/>
          <w:kern w:val="2"/>
          <w:sz w:val="32"/>
          <w:szCs w:val="32"/>
          <w:highlight w:val="none"/>
          <w:lang w:val="en-US" w:eastAsia="zh-CN" w:bidi="ar-SA"/>
        </w:rPr>
        <w:t>2024</w:t>
      </w:r>
      <w:r>
        <w:rPr>
          <w:rFonts w:hint="eastAsia" w:ascii="Times New Roman" w:hAnsi="Times New Roman" w:eastAsia="仿宋_GB2312" w:cs="Times New Roman"/>
          <w:kern w:val="2"/>
          <w:sz w:val="32"/>
          <w:szCs w:val="32"/>
          <w:highlight w:val="none"/>
          <w:lang w:val="en-US" w:eastAsia="zh-CN" w:bidi="ar-SA"/>
        </w:rPr>
        <w:t>年预算安排4.58万元，比上年减少1.12万元，下降19.45</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，减少的主要原因是按照中央过紧日子的精神，进一步压缩开支。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rPr>
          <w:rFonts w:hint="eastAsia"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w:t>
      </w:r>
      <w:r>
        <w:rPr>
          <w:rFonts w:hint="eastAsia" w:ascii="Times New Roman" w:hAnsi="Times New Roman" w:eastAsia="仿宋_GB2312" w:cs="Times New Roman"/>
          <w:kern w:val="2"/>
          <w:sz w:val="32"/>
          <w:szCs w:val="32"/>
          <w:highlight w:val="none"/>
          <w:lang w:val="en-US" w:eastAsia="zh-CN" w:bidi="ar-SA"/>
        </w:rPr>
        <w:t>公务用车购置及运行维护费</w:t>
      </w:r>
      <w:r>
        <w:rPr>
          <w:rFonts w:hint="default" w:ascii="Times New Roman" w:hAnsi="Times New Roman" w:eastAsia="仿宋_GB2312" w:cs="Times New Roman"/>
          <w:kern w:val="2"/>
          <w:sz w:val="32"/>
          <w:szCs w:val="32"/>
          <w:highlight w:val="none"/>
          <w:lang w:val="en-US" w:eastAsia="zh-CN" w:bidi="ar-SA"/>
        </w:rPr>
        <w:t>2024</w:t>
      </w:r>
      <w:r>
        <w:rPr>
          <w:rFonts w:hint="eastAsia" w:ascii="Times New Roman" w:hAnsi="Times New Roman" w:eastAsia="仿宋_GB2312" w:cs="Times New Roman"/>
          <w:kern w:val="2"/>
          <w:sz w:val="32"/>
          <w:szCs w:val="32"/>
          <w:highlight w:val="none"/>
          <w:lang w:val="en-US" w:eastAsia="zh-CN" w:bidi="ar-SA"/>
        </w:rPr>
        <w:t>年预算安排17.33万元，比上年减少4.33万元，下降19.99</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，其中：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公务用车购置费</w:t>
      </w:r>
      <w:r>
        <w:rPr>
          <w:rFonts w:hint="default" w:ascii="Times New Roman" w:hAnsi="Times New Roman" w:eastAsia="仿宋_GB2312" w:cs="Times New Roman"/>
          <w:kern w:val="2"/>
          <w:sz w:val="32"/>
          <w:szCs w:val="32"/>
          <w:highlight w:val="none"/>
          <w:lang w:val="en-US" w:eastAsia="zh-CN" w:bidi="ar-SA"/>
        </w:rPr>
        <w:t>2024</w:t>
      </w:r>
      <w:r>
        <w:rPr>
          <w:rFonts w:hint="eastAsia" w:ascii="Times New Roman" w:hAnsi="Times New Roman" w:eastAsia="仿宋_GB2312" w:cs="Times New Roman"/>
          <w:kern w:val="2"/>
          <w:sz w:val="32"/>
          <w:szCs w:val="32"/>
          <w:highlight w:val="none"/>
          <w:lang w:val="en-US" w:eastAsia="zh-CN" w:bidi="ar-SA"/>
        </w:rPr>
        <w:t>年预算安排</w:t>
      </w:r>
      <w:r>
        <w:rPr>
          <w:rFonts w:hint="default" w:ascii="Times New Roman" w:hAnsi="Times New Roman" w:eastAsia="仿宋_GB2312" w:cs="Times New Roman"/>
          <w:kern w:val="2"/>
          <w:sz w:val="32"/>
          <w:szCs w:val="32"/>
          <w:highlight w:val="none"/>
          <w:lang w:val="en-US" w:eastAsia="zh-CN" w:bidi="ar-SA"/>
        </w:rPr>
        <w:t>0</w:t>
      </w:r>
      <w:r>
        <w:rPr>
          <w:rFonts w:hint="eastAsia" w:ascii="Times New Roman" w:hAnsi="Times New Roman" w:eastAsia="仿宋_GB2312" w:cs="Times New Roman"/>
          <w:kern w:val="2"/>
          <w:sz w:val="32"/>
          <w:szCs w:val="32"/>
          <w:highlight w:val="none"/>
          <w:lang w:val="en-US" w:eastAsia="zh-CN" w:bidi="ar-SA"/>
        </w:rPr>
        <w:t>万元，与上年持平；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公务用车运行维护费</w:t>
      </w:r>
      <w:r>
        <w:rPr>
          <w:rFonts w:hint="default" w:ascii="Times New Roman" w:hAnsi="Times New Roman" w:eastAsia="仿宋_GB2312" w:cs="Times New Roman"/>
          <w:kern w:val="2"/>
          <w:sz w:val="32"/>
          <w:szCs w:val="32"/>
          <w:highlight w:val="none"/>
          <w:lang w:val="en-US" w:eastAsia="zh-CN" w:bidi="ar-SA"/>
        </w:rPr>
        <w:t>2024</w:t>
      </w:r>
      <w:r>
        <w:rPr>
          <w:rFonts w:hint="eastAsia" w:ascii="Times New Roman" w:hAnsi="Times New Roman" w:eastAsia="仿宋_GB2312" w:cs="Times New Roman"/>
          <w:kern w:val="2"/>
          <w:sz w:val="32"/>
          <w:szCs w:val="32"/>
          <w:highlight w:val="none"/>
          <w:lang w:val="en-US" w:eastAsia="zh-CN" w:bidi="ar-SA"/>
        </w:rPr>
        <w:t>年预算安排17.33万元，比上年减少4.33万元，下降19.99</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，减少的主要原因是按照中央过紧日子的精神，进一步压缩开支。</w:t>
      </w:r>
    </w:p>
    <w:p>
      <w:pPr>
        <w:tabs>
          <w:tab w:val="center" w:pos="4475"/>
        </w:tabs>
        <w:spacing w:line="560" w:lineRule="exact"/>
        <w:ind w:firstLine="645"/>
        <w:rPr>
          <w:rFonts w:ascii="黑体" w:eastAsia="黑体"/>
          <w:szCs w:val="32"/>
          <w:highlight w:val="none"/>
        </w:rPr>
      </w:pPr>
      <w:r>
        <w:rPr>
          <w:rFonts w:hint="eastAsia" w:ascii="黑体" w:eastAsia="黑体"/>
          <w:szCs w:val="32"/>
          <w:highlight w:val="none"/>
        </w:rPr>
        <w:t>八、政府性基金预算支出情况说明</w:t>
      </w:r>
    </w:p>
    <w:p>
      <w:pPr>
        <w:adjustRightInd w:val="0"/>
        <w:snapToGrid w:val="0"/>
        <w:spacing w:line="586" w:lineRule="exact"/>
        <w:ind w:right="-333" w:rightChars="-104"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我部门2024年部门预算无政府性基金预算。</w:t>
      </w:r>
    </w:p>
    <w:p>
      <w:pPr>
        <w:tabs>
          <w:tab w:val="center" w:pos="4475"/>
        </w:tabs>
        <w:spacing w:line="560" w:lineRule="exact"/>
        <w:ind w:firstLine="645"/>
        <w:rPr>
          <w:rFonts w:ascii="黑体" w:eastAsia="黑体"/>
          <w:szCs w:val="32"/>
          <w:highlight w:val="none"/>
        </w:rPr>
      </w:pPr>
      <w:r>
        <w:rPr>
          <w:rFonts w:hint="eastAsia" w:ascii="黑体" w:eastAsia="黑体"/>
          <w:szCs w:val="32"/>
          <w:highlight w:val="none"/>
        </w:rPr>
        <w:t>九、国有资本经营预算支出情况说明</w:t>
      </w:r>
    </w:p>
    <w:p>
      <w:pPr>
        <w:tabs>
          <w:tab w:val="center" w:pos="4475"/>
        </w:tabs>
        <w:spacing w:line="560" w:lineRule="exact"/>
        <w:ind w:firstLine="645"/>
        <w:rPr>
          <w:rFonts w:ascii="黑体" w:eastAsia="黑体"/>
          <w:szCs w:val="32"/>
          <w:highlight w:val="none"/>
        </w:rPr>
      </w:pPr>
      <w:r>
        <w:rPr>
          <w:rFonts w:hint="eastAsia" w:ascii="Times New Roman" w:hAnsi="Times New Roman" w:eastAsia="仿宋_GB2312" w:cs="Times New Roman"/>
          <w:sz w:val="32"/>
          <w:szCs w:val="32"/>
          <w:highlight w:val="none"/>
          <w:lang w:val="en-US" w:eastAsia="zh-CN"/>
        </w:rPr>
        <w:t>我部门2024年部门预算无国有资本经营预算。</w:t>
      </w:r>
    </w:p>
    <w:p>
      <w:pPr>
        <w:tabs>
          <w:tab w:val="center" w:pos="4475"/>
        </w:tabs>
        <w:spacing w:line="560" w:lineRule="exact"/>
        <w:ind w:firstLine="645"/>
        <w:rPr>
          <w:rFonts w:ascii="黑体" w:eastAsia="黑体"/>
          <w:szCs w:val="32"/>
          <w:highlight w:val="none"/>
        </w:rPr>
      </w:pPr>
      <w:r>
        <w:rPr>
          <w:rFonts w:hint="eastAsia" w:ascii="黑体" w:eastAsia="黑体"/>
          <w:szCs w:val="32"/>
          <w:highlight w:val="none"/>
        </w:rPr>
        <w:t>十、其他重要事项情况说明</w:t>
      </w:r>
    </w:p>
    <w:p>
      <w:pPr>
        <w:tabs>
          <w:tab w:val="center" w:pos="4475"/>
        </w:tabs>
        <w:spacing w:line="560" w:lineRule="exact"/>
        <w:ind w:firstLine="645"/>
        <w:rPr>
          <w:rFonts w:ascii="楷体_GB2312" w:hAnsi="楷体_GB2312" w:eastAsia="楷体_GB2312" w:cs="楷体_GB2312"/>
          <w:szCs w:val="32"/>
          <w:highlight w:val="none"/>
        </w:rPr>
      </w:pPr>
      <w:r>
        <w:rPr>
          <w:rFonts w:hint="eastAsia" w:ascii="楷体_GB2312" w:hAnsi="楷体_GB2312" w:eastAsia="楷体_GB2312" w:cs="楷体_GB2312"/>
          <w:szCs w:val="32"/>
          <w:highlight w:val="none"/>
        </w:rPr>
        <w:t>（一）机关运行经费安排情况说明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我部门</w:t>
      </w:r>
      <w:r>
        <w:rPr>
          <w:rFonts w:hint="default" w:ascii="Times New Roman" w:hAnsi="Times New Roman" w:eastAsia="仿宋_GB2312" w:cs="Times New Roman"/>
          <w:kern w:val="2"/>
          <w:sz w:val="32"/>
          <w:szCs w:val="32"/>
          <w:highlight w:val="none"/>
          <w:lang w:val="en-US" w:eastAsia="zh-CN" w:bidi="ar-SA"/>
        </w:rPr>
        <w:t>2024</w:t>
      </w:r>
      <w:r>
        <w:rPr>
          <w:rFonts w:hint="eastAsia" w:ascii="Times New Roman" w:hAnsi="Times New Roman" w:eastAsia="仿宋_GB2312" w:cs="Times New Roman"/>
          <w:kern w:val="2"/>
          <w:sz w:val="32"/>
          <w:szCs w:val="32"/>
          <w:highlight w:val="none"/>
          <w:lang w:val="en-US" w:eastAsia="zh-CN" w:bidi="ar-SA"/>
        </w:rPr>
        <w:t>年机关运行经费预算总额175.41万元，占支出总预算9.40</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，较上年增加0.91万元，增加0.52％。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其中：办公费6.85万元，印刷费科目2.28万元，水费科目1.73万元，电费科目6.42万元，邮电费科目13.49万元，差旅费科目31.86万元，维修（护）费科目1.98万元，会议费科目2.01万元，培训费科目2.01万元，公务接待费科目1.44万元，工会经费科目15.38万元，福利费科目2.02万元，公务用车运行维护费科目17.33万元，其他交通费用科目57.72万元，其他商品和服务支出科目12.89万元。</w:t>
      </w:r>
    </w:p>
    <w:p>
      <w:pPr>
        <w:tabs>
          <w:tab w:val="center" w:pos="4475"/>
        </w:tabs>
        <w:spacing w:line="560" w:lineRule="exact"/>
        <w:ind w:firstLine="645"/>
        <w:rPr>
          <w:rFonts w:ascii="楷体_GB2312" w:hAnsi="楷体_GB2312" w:eastAsia="楷体_GB2312" w:cs="楷体_GB2312"/>
          <w:kern w:val="0"/>
          <w:highlight w:val="none"/>
        </w:rPr>
      </w:pPr>
      <w:r>
        <w:rPr>
          <w:rFonts w:hint="eastAsia" w:ascii="楷体_GB2312" w:hAnsi="楷体_GB2312" w:eastAsia="楷体_GB2312" w:cs="楷体_GB2312"/>
          <w:szCs w:val="32"/>
          <w:highlight w:val="none"/>
        </w:rPr>
        <w:t>（二）</w:t>
      </w:r>
      <w:r>
        <w:rPr>
          <w:rFonts w:hint="eastAsia" w:ascii="楷体_GB2312" w:hAnsi="楷体_GB2312" w:eastAsia="楷体_GB2312" w:cs="楷体_GB2312"/>
          <w:kern w:val="0"/>
          <w:highlight w:val="none"/>
        </w:rPr>
        <w:t>政府采购预算安排情况说明</w:t>
      </w:r>
    </w:p>
    <w:p>
      <w:pPr>
        <w:tabs>
          <w:tab w:val="center" w:pos="4475"/>
        </w:tabs>
        <w:spacing w:line="560" w:lineRule="exact"/>
        <w:ind w:firstLine="645"/>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我部门</w:t>
      </w:r>
      <w:r>
        <w:rPr>
          <w:rFonts w:hint="default" w:ascii="Times New Roman" w:hAnsi="Times New Roman" w:eastAsia="仿宋_GB2312" w:cs="Times New Roman"/>
          <w:sz w:val="32"/>
          <w:szCs w:val="32"/>
          <w:highlight w:val="none"/>
          <w:lang w:val="en-US" w:eastAsia="zh-CN"/>
        </w:rPr>
        <w:t>2024</w:t>
      </w:r>
      <w:r>
        <w:rPr>
          <w:rFonts w:hint="eastAsia" w:ascii="Times New Roman" w:hAnsi="Times New Roman" w:eastAsia="仿宋_GB2312" w:cs="Times New Roman"/>
          <w:sz w:val="32"/>
          <w:szCs w:val="32"/>
          <w:highlight w:val="none"/>
          <w:lang w:val="en-US" w:eastAsia="zh-CN"/>
        </w:rPr>
        <w:t>年政府采购预算总金额62万元。其中：货物类采购</w:t>
      </w:r>
      <w:r>
        <w:rPr>
          <w:rFonts w:hint="default"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lang w:val="en-US" w:eastAsia="zh-CN"/>
        </w:rPr>
        <w:t>万元、工程类采购</w:t>
      </w:r>
      <w:r>
        <w:rPr>
          <w:rFonts w:hint="default"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lang w:val="en-US" w:eastAsia="zh-CN"/>
        </w:rPr>
        <w:t>万元、服务类采购62万元。</w:t>
      </w:r>
    </w:p>
    <w:p>
      <w:pPr>
        <w:tabs>
          <w:tab w:val="center" w:pos="4475"/>
        </w:tabs>
        <w:spacing w:line="560" w:lineRule="exact"/>
        <w:ind w:firstLine="645"/>
        <w:rPr>
          <w:rFonts w:ascii="楷体_GB2312" w:hAnsi="楷体_GB2312" w:eastAsia="楷体_GB2312" w:cs="楷体_GB2312"/>
          <w:kern w:val="0"/>
          <w:highlight w:val="none"/>
        </w:rPr>
      </w:pPr>
      <w:r>
        <w:rPr>
          <w:rFonts w:hint="eastAsia" w:ascii="楷体_GB2312" w:hAnsi="楷体_GB2312" w:eastAsia="楷体_GB2312" w:cs="楷体_GB2312"/>
          <w:kern w:val="0"/>
          <w:highlight w:val="none"/>
        </w:rPr>
        <w:t>（三）国有资产占用情况说明</w:t>
      </w:r>
    </w:p>
    <w:p>
      <w:pPr>
        <w:tabs>
          <w:tab w:val="center" w:pos="4475"/>
        </w:tabs>
        <w:spacing w:line="560" w:lineRule="exact"/>
        <w:ind w:firstLine="645"/>
        <w:rPr>
          <w:rFonts w:hint="eastAsia" w:ascii="仿宋_GB2312" w:hAnsi="宋体" w:eastAsia="仿宋_GB2312" w:cs="仿宋_GB2312"/>
          <w:i w:val="0"/>
          <w:iCs w:val="0"/>
          <w:caps w:val="0"/>
          <w:color w:val="000000"/>
          <w:spacing w:val="0"/>
          <w:sz w:val="31"/>
          <w:szCs w:val="31"/>
          <w:highlight w:val="none"/>
          <w:shd w:val="clear" w:fill="FFFFFF"/>
        </w:rPr>
      </w:pPr>
      <w:r>
        <w:rPr>
          <w:rFonts w:hint="eastAsia" w:ascii="Times New Roman" w:hAnsi="Times New Roman" w:eastAsia="仿宋_GB2312" w:cs="Times New Roman"/>
          <w:sz w:val="32"/>
          <w:szCs w:val="32"/>
          <w:highlight w:val="none"/>
          <w:lang w:val="en-US" w:eastAsia="zh-CN"/>
        </w:rPr>
        <w:t>截至</w:t>
      </w:r>
      <w:r>
        <w:rPr>
          <w:rFonts w:hint="default" w:ascii="Times New Roman" w:hAnsi="Times New Roman" w:eastAsia="仿宋_GB2312" w:cs="Times New Roman"/>
          <w:sz w:val="32"/>
          <w:szCs w:val="32"/>
          <w:highlight w:val="none"/>
          <w:lang w:val="en-US" w:eastAsia="zh-CN"/>
        </w:rPr>
        <w:t>2023</w:t>
      </w:r>
      <w:r>
        <w:rPr>
          <w:rFonts w:hint="eastAsia" w:ascii="Times New Roman" w:hAnsi="Times New Roman" w:eastAsia="仿宋_GB2312" w:cs="Times New Roman"/>
          <w:sz w:val="32"/>
          <w:szCs w:val="32"/>
          <w:highlight w:val="none"/>
          <w:lang w:val="en-US" w:eastAsia="zh-CN"/>
        </w:rPr>
        <w:t>年</w:t>
      </w:r>
      <w:r>
        <w:rPr>
          <w:rFonts w:hint="default" w:ascii="Times New Roman" w:hAnsi="Times New Roman" w:eastAsia="仿宋_GB2312" w:cs="Times New Roman"/>
          <w:sz w:val="32"/>
          <w:szCs w:val="32"/>
          <w:highlight w:val="none"/>
          <w:lang w:val="en-US" w:eastAsia="zh-CN"/>
        </w:rPr>
        <w:t>12</w:t>
      </w:r>
      <w:r>
        <w:rPr>
          <w:rFonts w:hint="eastAsia" w:ascii="Times New Roman" w:hAnsi="Times New Roman" w:eastAsia="仿宋_GB2312" w:cs="Times New Roman"/>
          <w:sz w:val="32"/>
          <w:szCs w:val="32"/>
          <w:highlight w:val="none"/>
          <w:lang w:val="en-US" w:eastAsia="zh-CN"/>
        </w:rPr>
        <w:t>月</w:t>
      </w:r>
      <w:r>
        <w:rPr>
          <w:rFonts w:hint="default" w:ascii="Times New Roman" w:hAnsi="Times New Roman" w:eastAsia="仿宋_GB2312" w:cs="Times New Roman"/>
          <w:sz w:val="32"/>
          <w:szCs w:val="32"/>
          <w:highlight w:val="none"/>
          <w:lang w:val="en-US" w:eastAsia="zh-CN"/>
        </w:rPr>
        <w:t>31</w:t>
      </w:r>
      <w:r>
        <w:rPr>
          <w:rFonts w:hint="eastAsia" w:ascii="Times New Roman" w:hAnsi="Times New Roman" w:eastAsia="仿宋_GB2312" w:cs="Times New Roman"/>
          <w:sz w:val="32"/>
          <w:szCs w:val="32"/>
          <w:highlight w:val="none"/>
          <w:lang w:val="en-US" w:eastAsia="zh-CN"/>
        </w:rPr>
        <w:t>日，本部门资产总额（账面净值，下同）2293.44万元，其中：流动资产285.45万元，占资产总额12.45</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；固定资产1625.67万元，占资产总额70.88</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；在建工程0万元，占资产总额0</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；无形资产12.76万元，占资产总额0.56</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；受托代理资产</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案件暂存款</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369.56万元，占资产总额16.11</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w:t>
      </w:r>
    </w:p>
    <w:p>
      <w:pPr>
        <w:tabs>
          <w:tab w:val="center" w:pos="4475"/>
        </w:tabs>
        <w:spacing w:line="560" w:lineRule="exact"/>
        <w:ind w:firstLine="645"/>
        <w:rPr>
          <w:rFonts w:ascii="楷体_GB2312" w:hAnsi="楷体_GB2312" w:eastAsia="楷体_GB2312" w:cs="楷体_GB2312"/>
          <w:szCs w:val="32"/>
          <w:highlight w:val="none"/>
        </w:rPr>
      </w:pPr>
      <w:r>
        <w:rPr>
          <w:rFonts w:hint="eastAsia" w:ascii="楷体_GB2312" w:hAnsi="楷体_GB2312" w:eastAsia="楷体_GB2312" w:cs="楷体_GB2312"/>
          <w:szCs w:val="32"/>
          <w:highlight w:val="none"/>
        </w:rPr>
        <w:t>（四）预算绩效目标情况说明</w:t>
      </w:r>
    </w:p>
    <w:p>
      <w:pPr>
        <w:tabs>
          <w:tab w:val="center" w:pos="4475"/>
        </w:tabs>
        <w:spacing w:line="560" w:lineRule="exact"/>
        <w:ind w:firstLine="645"/>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我部门</w:t>
      </w:r>
      <w:r>
        <w:rPr>
          <w:rFonts w:hint="default" w:ascii="Times New Roman" w:hAnsi="Times New Roman" w:eastAsia="仿宋_GB2312" w:cs="Times New Roman"/>
          <w:sz w:val="32"/>
          <w:szCs w:val="32"/>
          <w:highlight w:val="none"/>
          <w:lang w:val="en-US" w:eastAsia="zh-CN"/>
        </w:rPr>
        <w:t>2024</w:t>
      </w:r>
      <w:r>
        <w:rPr>
          <w:rFonts w:hint="eastAsia" w:ascii="Times New Roman" w:hAnsi="Times New Roman" w:eastAsia="仿宋_GB2312" w:cs="Times New Roman"/>
          <w:sz w:val="32"/>
          <w:szCs w:val="32"/>
          <w:highlight w:val="none"/>
          <w:lang w:val="en-US" w:eastAsia="zh-CN"/>
        </w:rPr>
        <w:t>年所有项目支出全面实施绩效目标管理，涉及市本级项目3个，预算资金80.14万元；对下转移支付项目</w:t>
      </w:r>
      <w:r>
        <w:rPr>
          <w:rFonts w:hint="default"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lang w:val="en-US" w:eastAsia="zh-CN"/>
        </w:rPr>
        <w:t>个，预算资金</w:t>
      </w:r>
      <w:r>
        <w:rPr>
          <w:rFonts w:hint="default"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lang w:val="en-US" w:eastAsia="zh-CN"/>
        </w:rPr>
        <w:t>万元。重点项目绩效目标情况详见预算公开报表</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表</w:t>
      </w:r>
      <w:r>
        <w:rPr>
          <w:rFonts w:hint="default" w:ascii="Times New Roman" w:hAnsi="Times New Roman" w:eastAsia="仿宋_GB2312" w:cs="Times New Roman"/>
          <w:sz w:val="32"/>
          <w:szCs w:val="32"/>
          <w:highlight w:val="none"/>
          <w:lang w:val="en-US" w:eastAsia="zh-CN"/>
        </w:rPr>
        <w:t>13</w:t>
      </w:r>
      <w:r>
        <w:rPr>
          <w:rFonts w:hint="eastAsia" w:ascii="Times New Roman" w:hAnsi="Times New Roman" w:eastAsia="仿宋_GB2312" w:cs="Times New Roman"/>
          <w:sz w:val="32"/>
          <w:szCs w:val="32"/>
          <w:highlight w:val="none"/>
          <w:lang w:val="en-US" w:eastAsia="zh-CN"/>
        </w:rPr>
        <w:t>。</w:t>
      </w:r>
    </w:p>
    <w:p>
      <w:pPr>
        <w:tabs>
          <w:tab w:val="center" w:pos="4475"/>
        </w:tabs>
        <w:spacing w:line="560" w:lineRule="exact"/>
        <w:ind w:firstLine="645"/>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重点项目预算绩效目标说明。</w:t>
      </w:r>
    </w:p>
    <w:p>
      <w:pPr>
        <w:tabs>
          <w:tab w:val="center" w:pos="4475"/>
        </w:tabs>
        <w:spacing w:line="560" w:lineRule="exact"/>
        <w:ind w:firstLine="645"/>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项目名称水电费，预算资金15万元，</w:t>
      </w:r>
      <w:r>
        <w:rPr>
          <w:rFonts w:hint="default" w:ascii="Times New Roman" w:hAnsi="Times New Roman" w:eastAsia="仿宋_GB2312" w:cs="Times New Roman"/>
          <w:sz w:val="32"/>
          <w:szCs w:val="32"/>
          <w:highlight w:val="none"/>
          <w:lang w:val="en-US" w:eastAsia="zh-CN"/>
        </w:rPr>
        <w:t>2024</w:t>
      </w:r>
      <w:r>
        <w:rPr>
          <w:rFonts w:hint="eastAsia" w:ascii="Times New Roman" w:hAnsi="Times New Roman" w:eastAsia="仿宋_GB2312" w:cs="Times New Roman"/>
          <w:sz w:val="32"/>
          <w:szCs w:val="32"/>
          <w:highlight w:val="none"/>
          <w:lang w:val="en-US" w:eastAsia="zh-CN"/>
        </w:rPr>
        <w:t>年度绩效目标为满足机关用水用电需求，确保机关正常运转。设1条数量指标：数量指标</w:t>
      </w:r>
      <w:r>
        <w:rPr>
          <w:rFonts w:hint="default" w:ascii="Times New Roman" w:hAnsi="Times New Roman" w:eastAsia="仿宋_GB2312" w:cs="Times New Roman"/>
          <w:sz w:val="32"/>
          <w:szCs w:val="32"/>
          <w:highlight w:val="none"/>
          <w:lang w:val="en-US" w:eastAsia="zh-CN"/>
        </w:rPr>
        <w:t>缴纳水电费次数</w:t>
      </w:r>
      <w:r>
        <w:rPr>
          <w:rFonts w:hint="eastAsia" w:ascii="Times New Roman" w:hAnsi="Times New Roman" w:eastAsia="仿宋_GB2312" w:cs="Times New Roman"/>
          <w:sz w:val="32"/>
          <w:szCs w:val="32"/>
          <w:highlight w:val="none"/>
          <w:lang w:val="en-US" w:eastAsia="zh-CN"/>
        </w:rPr>
        <w:t>≤12次；设</w:t>
      </w: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条质量指标：水电设备正常运行率≥</w:t>
      </w:r>
      <w:r>
        <w:rPr>
          <w:rFonts w:hint="default" w:ascii="Times New Roman" w:hAnsi="Times New Roman" w:eastAsia="仿宋_GB2312" w:cs="Times New Roman"/>
          <w:sz w:val="32"/>
          <w:szCs w:val="32"/>
          <w:highlight w:val="none"/>
          <w:lang w:val="en-US" w:eastAsia="zh-CN"/>
        </w:rPr>
        <w:t>90%</w:t>
      </w:r>
      <w:r>
        <w:rPr>
          <w:rFonts w:hint="eastAsia" w:ascii="Times New Roman" w:hAnsi="Times New Roman" w:eastAsia="仿宋_GB2312" w:cs="Times New Roman"/>
          <w:sz w:val="32"/>
          <w:szCs w:val="32"/>
          <w:highlight w:val="none"/>
          <w:lang w:val="en-US" w:eastAsia="zh-CN"/>
        </w:rPr>
        <w:t>；设1条时效指标：经费计划支出时间，每月31日前；设</w:t>
      </w: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条成本指标：项目总成本≤15万元；设</w:t>
      </w: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条社会效益指标：对单位履职、促进事业发展的持续影响程度达到改善或提升；设</w:t>
      </w: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条满意度指标：本单位工作人员满意度≥</w:t>
      </w:r>
      <w:r>
        <w:rPr>
          <w:rFonts w:hint="default" w:ascii="Times New Roman" w:hAnsi="Times New Roman" w:eastAsia="仿宋_GB2312" w:cs="Times New Roman"/>
          <w:sz w:val="32"/>
          <w:szCs w:val="32"/>
          <w:highlight w:val="none"/>
          <w:lang w:val="en-US" w:eastAsia="zh-CN"/>
        </w:rPr>
        <w:t>90%</w:t>
      </w:r>
      <w:r>
        <w:rPr>
          <w:rFonts w:hint="eastAsia" w:ascii="Times New Roman" w:hAnsi="Times New Roman" w:eastAsia="仿宋_GB2312" w:cs="Times New Roman"/>
          <w:sz w:val="32"/>
          <w:szCs w:val="32"/>
          <w:highlight w:val="none"/>
          <w:lang w:val="en-US" w:eastAsia="zh-CN"/>
        </w:rPr>
        <w:t>。</w:t>
      </w:r>
    </w:p>
    <w:p>
      <w:pPr>
        <w:tabs>
          <w:tab w:val="center" w:pos="4475"/>
        </w:tabs>
        <w:spacing w:line="560" w:lineRule="exact"/>
        <w:ind w:firstLine="645"/>
        <w:rPr>
          <w:rFonts w:hint="eastAsia" w:ascii="Times New Roman" w:hAnsi="Times New Roman" w:eastAsia="仿宋_GB2312" w:cs="Times New Roman"/>
          <w:sz w:val="32"/>
          <w:szCs w:val="32"/>
          <w:highlight w:val="none"/>
          <w:lang w:val="en-US" w:eastAsia="zh-CN"/>
        </w:rPr>
      </w:pPr>
    </w:p>
    <w:p>
      <w:pPr>
        <w:tabs>
          <w:tab w:val="center" w:pos="4475"/>
        </w:tabs>
        <w:spacing w:line="560" w:lineRule="exact"/>
        <w:ind w:firstLine="645"/>
        <w:rPr>
          <w:rFonts w:ascii="黑体" w:eastAsia="黑体"/>
          <w:szCs w:val="32"/>
          <w:highlight w:val="none"/>
        </w:rPr>
      </w:pPr>
      <w:r>
        <w:rPr>
          <w:rFonts w:hint="eastAsia" w:ascii="黑体" w:eastAsia="黑体"/>
          <w:szCs w:val="32"/>
          <w:highlight w:val="none"/>
        </w:rPr>
        <w:t>第三部分：名词解释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一、行政运行（法院）：主要核算法院在职在编人员工资，以及按在编人员数核算的公用经费。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二、一般行政管理事务（法院）：主要核算定额外的法院公用经费。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三、案件审判：主要核算比较明确是围绕案件审判开支的一些经费支出，如开庭差旅费，鉴定费，开庭、调查公务用车费用，委托鉴定费用，以及为完成审判工作必要的外请劳务费等。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四、案件执行：主要核算案件进入执行环节需要发生的差旅费、住宿费、拍卖在押物品相关费用以及执行死刑发生的各类支出。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五、“两庭”建设：主要核算法院审判法庭建设，根据工作需要，审判法庭都需要建设成高清数字科技法庭。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六、行政单位医疗：核算法院在职在编干警医疗保险。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七、公务员医疗补助：核算法院在职在编干警公务员医疗补助。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八、住房公积金：核算法院在职在编干警住房公积金。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Times New Roman" w:hAnsi="Times New Roman" w:eastAsia="仿宋_GB2312" w:cs="Times New Roman"/>
          <w:kern w:val="2"/>
          <w:sz w:val="32"/>
          <w:szCs w:val="32"/>
          <w:highlight w:val="none"/>
          <w:lang w:val="en-US" w:eastAsia="zh-CN" w:bidi="ar-SA"/>
        </w:rPr>
      </w:pPr>
    </w:p>
    <w:p>
      <w:pPr>
        <w:tabs>
          <w:tab w:val="center" w:pos="4475"/>
        </w:tabs>
        <w:spacing w:line="560" w:lineRule="exact"/>
        <w:ind w:firstLine="645"/>
        <w:rPr>
          <w:rFonts w:ascii="仿宋_GB2312" w:hAnsi="宋体"/>
          <w:szCs w:val="32"/>
          <w:highlight w:val="none"/>
          <w:u w:val="single"/>
        </w:rPr>
      </w:pPr>
      <w:r>
        <w:rPr>
          <w:rFonts w:hint="eastAsia" w:ascii="黑体" w:eastAsia="黑体"/>
          <w:szCs w:val="32"/>
          <w:highlight w:val="none"/>
        </w:rPr>
        <w:t>第四部分：</w:t>
      </w:r>
      <w:r>
        <w:rPr>
          <w:rFonts w:hint="eastAsia" w:ascii="黑体" w:hAnsi="宋体" w:eastAsia="黑体"/>
          <w:szCs w:val="32"/>
          <w:highlight w:val="none"/>
          <w:lang w:eastAsia="zh-CN"/>
        </w:rPr>
        <w:t>资源县人民法院</w:t>
      </w:r>
      <w:r>
        <w:rPr>
          <w:rFonts w:hint="eastAsia" w:ascii="黑体" w:hAnsi="宋体" w:eastAsia="黑体"/>
          <w:szCs w:val="32"/>
          <w:highlight w:val="none"/>
        </w:rPr>
        <w:t>2024年</w:t>
      </w:r>
      <w:r>
        <w:rPr>
          <w:rFonts w:hint="eastAsia" w:ascii="黑体" w:eastAsia="黑体"/>
          <w:szCs w:val="32"/>
          <w:highlight w:val="none"/>
        </w:rPr>
        <w:t>部门预算报表</w:t>
      </w:r>
    </w:p>
    <w:p>
      <w:pPr>
        <w:tabs>
          <w:tab w:val="center" w:pos="4475"/>
        </w:tabs>
        <w:spacing w:line="560" w:lineRule="exact"/>
        <w:ind w:firstLine="645"/>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一、部门收支总体情况表（表1）</w:t>
      </w:r>
    </w:p>
    <w:p>
      <w:pPr>
        <w:tabs>
          <w:tab w:val="center" w:pos="4475"/>
        </w:tabs>
        <w:spacing w:line="560" w:lineRule="exact"/>
        <w:ind w:firstLine="645"/>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二、部门收入总体情况表（表2）</w:t>
      </w:r>
    </w:p>
    <w:p>
      <w:pPr>
        <w:tabs>
          <w:tab w:val="center" w:pos="4475"/>
        </w:tabs>
        <w:spacing w:line="560" w:lineRule="exact"/>
        <w:ind w:firstLine="645"/>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三、部门支出总体情况表（表3）</w:t>
      </w:r>
    </w:p>
    <w:p>
      <w:pPr>
        <w:tabs>
          <w:tab w:val="center" w:pos="4475"/>
        </w:tabs>
        <w:spacing w:line="560" w:lineRule="exact"/>
        <w:ind w:firstLine="645"/>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四、财政拨款收支总体情况表（表4）</w:t>
      </w:r>
    </w:p>
    <w:p>
      <w:pPr>
        <w:tabs>
          <w:tab w:val="center" w:pos="4475"/>
        </w:tabs>
        <w:spacing w:line="560" w:lineRule="exact"/>
        <w:ind w:firstLine="645"/>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五、一般公共预算支出情况表（表5）</w:t>
      </w:r>
    </w:p>
    <w:p>
      <w:pPr>
        <w:tabs>
          <w:tab w:val="center" w:pos="4475"/>
        </w:tabs>
        <w:spacing w:line="560" w:lineRule="exact"/>
        <w:ind w:firstLine="645"/>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六、一般公共预算基本支出情况表（表6）</w:t>
      </w:r>
    </w:p>
    <w:p>
      <w:pPr>
        <w:tabs>
          <w:tab w:val="center" w:pos="4475"/>
        </w:tabs>
        <w:spacing w:line="560" w:lineRule="exact"/>
        <w:ind w:firstLine="645"/>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七、一般公共预算“三公”经费支出情况表（表7）</w:t>
      </w:r>
    </w:p>
    <w:p>
      <w:pPr>
        <w:tabs>
          <w:tab w:val="center" w:pos="4475"/>
        </w:tabs>
        <w:spacing w:line="560" w:lineRule="exact"/>
        <w:ind w:firstLine="645"/>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八、政府性基金预算支出情况表（表8）</w:t>
      </w:r>
    </w:p>
    <w:p>
      <w:pPr>
        <w:tabs>
          <w:tab w:val="center" w:pos="4475"/>
        </w:tabs>
        <w:spacing w:line="560" w:lineRule="exact"/>
        <w:ind w:firstLine="645"/>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九、国有资本经营预算支出表（表9）</w:t>
      </w:r>
    </w:p>
    <w:p>
      <w:pPr>
        <w:tabs>
          <w:tab w:val="center" w:pos="4475"/>
        </w:tabs>
        <w:spacing w:line="560" w:lineRule="exact"/>
        <w:ind w:firstLine="645"/>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十、政府采购预算表（表10）</w:t>
      </w:r>
    </w:p>
    <w:p>
      <w:pPr>
        <w:tabs>
          <w:tab w:val="center" w:pos="4475"/>
        </w:tabs>
        <w:spacing w:line="560" w:lineRule="exact"/>
        <w:ind w:firstLine="645"/>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十一、部门预算支出经济分类表（表11）</w:t>
      </w:r>
    </w:p>
    <w:p>
      <w:pPr>
        <w:tabs>
          <w:tab w:val="center" w:pos="4475"/>
        </w:tabs>
        <w:spacing w:line="560" w:lineRule="exact"/>
        <w:ind w:firstLine="645"/>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十二、政府预算支出经济分类表（表12）</w:t>
      </w:r>
    </w:p>
    <w:p>
      <w:pPr>
        <w:tabs>
          <w:tab w:val="center" w:pos="4475"/>
        </w:tabs>
        <w:spacing w:line="560" w:lineRule="exact"/>
        <w:ind w:firstLine="645"/>
        <w:rPr>
          <w:szCs w:val="32"/>
          <w:highlight w:val="none"/>
        </w:rPr>
      </w:pPr>
      <w:r>
        <w:rPr>
          <w:rFonts w:hint="eastAsia" w:ascii="Times New Roman" w:hAnsi="Times New Roman" w:eastAsia="仿宋_GB2312" w:cs="Times New Roman"/>
          <w:sz w:val="32"/>
          <w:szCs w:val="32"/>
          <w:highlight w:val="none"/>
          <w:lang w:val="en-US" w:eastAsia="zh-CN"/>
        </w:rPr>
        <w:t>十三、项目支出（部门预算）绩效目标申报表（表</w:t>
      </w:r>
      <w:r>
        <w:rPr>
          <w:rFonts w:hint="default" w:ascii="Times New Roman" w:hAnsi="Times New Roman" w:eastAsia="仿宋_GB2312" w:cs="Times New Roman"/>
          <w:sz w:val="32"/>
          <w:szCs w:val="32"/>
          <w:highlight w:val="none"/>
          <w:lang w:val="en-US" w:eastAsia="zh-CN"/>
        </w:rPr>
        <w:t>13</w:t>
      </w:r>
      <w:r>
        <w:rPr>
          <w:rFonts w:hint="eastAsia" w:ascii="Times New Roman" w:hAnsi="Times New Roman" w:eastAsia="仿宋_GB2312" w:cs="Times New Roman"/>
          <w:sz w:val="32"/>
          <w:szCs w:val="32"/>
          <w:highlight w:val="none"/>
          <w:lang w:val="en-US" w:eastAsia="zh-CN"/>
        </w:rPr>
        <w:t>）</w:t>
      </w:r>
    </w:p>
    <w:p>
      <w:pPr>
        <w:spacing w:line="586" w:lineRule="exact"/>
        <w:ind w:firstLine="470" w:firstLineChars="147"/>
        <w:rPr>
          <w:rFonts w:eastAsia="黑体"/>
          <w:szCs w:val="32"/>
          <w:highlight w:val="none"/>
        </w:rPr>
      </w:pPr>
      <w:r>
        <w:rPr>
          <w:rFonts w:hAnsi="黑体" w:eastAsia="黑体"/>
          <w:szCs w:val="32"/>
          <w:highlight w:val="none"/>
        </w:rPr>
        <w:t>上述报表详见附件。</w:t>
      </w:r>
    </w:p>
    <w:p>
      <w:pPr>
        <w:autoSpaceDE w:val="0"/>
        <w:autoSpaceDN w:val="0"/>
        <w:adjustRightInd w:val="0"/>
        <w:spacing w:line="586" w:lineRule="exact"/>
        <w:ind w:left="-224" w:leftChars="-70" w:firstLine="626" w:firstLineChars="195"/>
        <w:rPr>
          <w:b/>
          <w:szCs w:val="32"/>
          <w:highlight w:val="none"/>
        </w:rPr>
      </w:pPr>
      <w:r>
        <w:rPr>
          <w:rFonts w:hint="eastAsia"/>
          <w:b/>
          <w:szCs w:val="32"/>
          <w:highlight w:val="none"/>
        </w:rPr>
        <w:t>附件.</w:t>
      </w:r>
      <w:r>
        <w:rPr>
          <w:rFonts w:hint="eastAsia" w:ascii="黑体" w:hAnsi="宋体" w:eastAsia="黑体"/>
          <w:szCs w:val="32"/>
          <w:highlight w:val="none"/>
        </w:rPr>
        <w:t xml:space="preserve"> </w:t>
      </w:r>
      <w:r>
        <w:rPr>
          <w:rFonts w:hint="eastAsia"/>
          <w:b/>
          <w:szCs w:val="32"/>
          <w:highlight w:val="none"/>
          <w:lang w:eastAsia="zh-CN"/>
        </w:rPr>
        <w:t>资源县人民法院</w:t>
      </w:r>
      <w:r>
        <w:rPr>
          <w:rFonts w:hint="eastAsia"/>
          <w:b/>
          <w:szCs w:val="32"/>
          <w:highlight w:val="none"/>
        </w:rPr>
        <w:t>部门预算报表（财政审核）（桂林市本级预算公开表）</w:t>
      </w:r>
      <w:r>
        <w:rPr>
          <w:b/>
          <w:szCs w:val="32"/>
          <w:highlight w:val="none"/>
        </w:rPr>
        <w:t>.xls</w:t>
      </w:r>
    </w:p>
    <w:p>
      <w:pPr>
        <w:tabs>
          <w:tab w:val="center" w:pos="4475"/>
        </w:tabs>
        <w:spacing w:line="560" w:lineRule="exact"/>
        <w:ind w:firstLine="645"/>
        <w:rPr>
          <w:rFonts w:ascii="仿宋_GB2312" w:hAnsi="宋体"/>
          <w:szCs w:val="32"/>
          <w:highlight w:val="none"/>
          <w:u w:val="single"/>
        </w:rPr>
      </w:pPr>
    </w:p>
    <w:p>
      <w:pPr>
        <w:rPr>
          <w:highlight w:val="none"/>
        </w:rPr>
      </w:pPr>
    </w:p>
    <w:sectPr>
      <w:footerReference r:id="rId5" w:type="default"/>
      <w:pgSz w:w="11906" w:h="16838"/>
      <w:pgMar w:top="2098" w:right="1417" w:bottom="1984" w:left="1587" w:header="851" w:footer="992" w:gutter="0"/>
      <w:pgNumType w:fmt="decimal" w:start="1"/>
      <w:cols w:space="720" w:num="1"/>
      <w:docGrid w:type="lines"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rPr>
                    <w:rStyle w:val="7"/>
                    <w:rFonts w:ascii="宋体" w:hAnsi="宋体" w:cs="宋体"/>
                    <w:sz w:val="32"/>
                    <w:szCs w:val="32"/>
                  </w:rPr>
                </w:pPr>
                <w:r>
                  <w:rPr>
                    <w:rStyle w:val="7"/>
                    <w:rFonts w:hint="eastAsia" w:ascii="宋体" w:hAnsi="宋体" w:cs="宋体"/>
                    <w:sz w:val="28"/>
                    <w:szCs w:val="28"/>
                  </w:rPr>
                  <w:t>—</w:t>
                </w:r>
                <w:r>
                  <w:rPr>
                    <w:rStyle w:val="7"/>
                    <w:rFonts w:hint="eastAsia" w:ascii="宋体" w:hAnsi="宋体" w:cs="宋体"/>
                    <w:sz w:val="28"/>
                    <w:szCs w:val="28"/>
                  </w:rPr>
                  <w:fldChar w:fldCharType="begin"/>
                </w:r>
                <w:r>
                  <w:rPr>
                    <w:rStyle w:val="7"/>
                    <w:rFonts w:hint="eastAsia" w:ascii="宋体" w:hAnsi="宋体" w:cs="宋体"/>
                    <w:sz w:val="28"/>
                    <w:szCs w:val="28"/>
                  </w:rPr>
                  <w:instrText xml:space="preserve">PAGE  </w:instrText>
                </w:r>
                <w:r>
                  <w:rPr>
                    <w:rStyle w:val="7"/>
                    <w:rFonts w:hint="eastAsia" w:ascii="宋体" w:hAnsi="宋体" w:cs="宋体"/>
                    <w:sz w:val="28"/>
                    <w:szCs w:val="28"/>
                  </w:rPr>
                  <w:fldChar w:fldCharType="separate"/>
                </w:r>
                <w:r>
                  <w:rPr>
                    <w:rStyle w:val="7"/>
                    <w:rFonts w:ascii="宋体" w:hAnsi="宋体" w:cs="宋体"/>
                    <w:sz w:val="28"/>
                    <w:szCs w:val="28"/>
                  </w:rPr>
                  <w:t>13</w:t>
                </w:r>
                <w:r>
                  <w:rPr>
                    <w:rStyle w:val="7"/>
                    <w:rFonts w:hint="eastAsia" w:ascii="宋体" w:hAnsi="宋体" w:cs="宋体"/>
                    <w:sz w:val="28"/>
                    <w:szCs w:val="28"/>
                  </w:rPr>
                  <w:fldChar w:fldCharType="end"/>
                </w:r>
                <w:r>
                  <w:rPr>
                    <w:rStyle w:val="7"/>
                    <w:rFonts w:hint="eastAsia" w:ascii="宋体" w:hAnsi="宋体" w:cs="宋体"/>
                    <w:sz w:val="28"/>
                    <w:szCs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7" o:spid="_x0000_s1027" o:spt="202" type="#_x0000_t202" style="position:absolute;left:0pt;margin-top:0pt;height:144pt;width:144pt;mso-position-horizontal:in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rPr>
                    <w:rStyle w:val="7"/>
                    <w:rFonts w:ascii="宋体" w:hAnsi="宋体" w:cs="宋体"/>
                    <w:sz w:val="32"/>
                    <w:szCs w:val="32"/>
                  </w:rPr>
                </w:pPr>
                <w:r>
                  <w:rPr>
                    <w:rStyle w:val="7"/>
                    <w:rFonts w:hint="eastAsia" w:ascii="宋体" w:hAnsi="宋体" w:cs="宋体"/>
                    <w:sz w:val="28"/>
                    <w:szCs w:val="28"/>
                  </w:rPr>
                  <w:t>—</w:t>
                </w:r>
                <w:r>
                  <w:rPr>
                    <w:rStyle w:val="7"/>
                    <w:rFonts w:hint="eastAsia" w:ascii="宋体" w:hAnsi="宋体" w:cs="宋体"/>
                    <w:sz w:val="28"/>
                    <w:szCs w:val="28"/>
                  </w:rPr>
                  <w:fldChar w:fldCharType="begin"/>
                </w:r>
                <w:r>
                  <w:rPr>
                    <w:rStyle w:val="7"/>
                    <w:rFonts w:hint="eastAsia" w:ascii="宋体" w:hAnsi="宋体" w:cs="宋体"/>
                    <w:sz w:val="28"/>
                    <w:szCs w:val="28"/>
                  </w:rPr>
                  <w:instrText xml:space="preserve">PAGE  </w:instrText>
                </w:r>
                <w:r>
                  <w:rPr>
                    <w:rStyle w:val="7"/>
                    <w:rFonts w:hint="eastAsia" w:ascii="宋体" w:hAnsi="宋体" w:cs="宋体"/>
                    <w:sz w:val="28"/>
                    <w:szCs w:val="28"/>
                  </w:rPr>
                  <w:fldChar w:fldCharType="separate"/>
                </w:r>
                <w:r>
                  <w:rPr>
                    <w:rStyle w:val="7"/>
                    <w:rFonts w:ascii="宋体" w:hAnsi="宋体" w:cs="宋体"/>
                    <w:sz w:val="28"/>
                    <w:szCs w:val="28"/>
                  </w:rPr>
                  <w:t>13</w:t>
                </w:r>
                <w:r>
                  <w:rPr>
                    <w:rStyle w:val="7"/>
                    <w:rFonts w:hint="eastAsia" w:ascii="宋体" w:hAnsi="宋体" w:cs="宋体"/>
                    <w:sz w:val="28"/>
                    <w:szCs w:val="28"/>
                  </w:rPr>
                  <w:fldChar w:fldCharType="end"/>
                </w:r>
                <w:r>
                  <w:rPr>
                    <w:rStyle w:val="7"/>
                    <w:rFonts w:hint="eastAsia" w:ascii="宋体" w:hAnsi="宋体" w:cs="宋体"/>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E2B2E"/>
    <w:rsid w:val="000C60AF"/>
    <w:rsid w:val="000E2B2E"/>
    <w:rsid w:val="00102F95"/>
    <w:rsid w:val="004C201E"/>
    <w:rsid w:val="00656D84"/>
    <w:rsid w:val="006B3BA0"/>
    <w:rsid w:val="007035D5"/>
    <w:rsid w:val="007657B9"/>
    <w:rsid w:val="007C4397"/>
    <w:rsid w:val="00884219"/>
    <w:rsid w:val="0095006D"/>
    <w:rsid w:val="009D29CA"/>
    <w:rsid w:val="009E1B9E"/>
    <w:rsid w:val="00AD4CA8"/>
    <w:rsid w:val="00C20C21"/>
    <w:rsid w:val="00C42C76"/>
    <w:rsid w:val="00CD21AA"/>
    <w:rsid w:val="00E72012"/>
    <w:rsid w:val="00F333F2"/>
    <w:rsid w:val="022C1CA1"/>
    <w:rsid w:val="04B019C0"/>
    <w:rsid w:val="04B17441"/>
    <w:rsid w:val="09DD383B"/>
    <w:rsid w:val="0C4452AF"/>
    <w:rsid w:val="0E8100DC"/>
    <w:rsid w:val="0F3A6403"/>
    <w:rsid w:val="0F6E31DD"/>
    <w:rsid w:val="108A5F33"/>
    <w:rsid w:val="119079DF"/>
    <w:rsid w:val="12992410"/>
    <w:rsid w:val="13B41C63"/>
    <w:rsid w:val="16841A81"/>
    <w:rsid w:val="17C90A93"/>
    <w:rsid w:val="17FF0DDD"/>
    <w:rsid w:val="1906049B"/>
    <w:rsid w:val="19827DE5"/>
    <w:rsid w:val="1ABE55EE"/>
    <w:rsid w:val="1FDB2A52"/>
    <w:rsid w:val="1FE21C92"/>
    <w:rsid w:val="20D63F6F"/>
    <w:rsid w:val="21004DB3"/>
    <w:rsid w:val="211C6827"/>
    <w:rsid w:val="23D97A5F"/>
    <w:rsid w:val="288A2311"/>
    <w:rsid w:val="29090661"/>
    <w:rsid w:val="299C0ED5"/>
    <w:rsid w:val="2A95366B"/>
    <w:rsid w:val="2BC901E5"/>
    <w:rsid w:val="2C9256AF"/>
    <w:rsid w:val="2CA7654E"/>
    <w:rsid w:val="2CC85B89"/>
    <w:rsid w:val="2D5269E7"/>
    <w:rsid w:val="2E1909AE"/>
    <w:rsid w:val="2E8A1F67"/>
    <w:rsid w:val="2F9672DB"/>
    <w:rsid w:val="31335748"/>
    <w:rsid w:val="34654306"/>
    <w:rsid w:val="373C5B22"/>
    <w:rsid w:val="37701980"/>
    <w:rsid w:val="38C23E21"/>
    <w:rsid w:val="39A945FB"/>
    <w:rsid w:val="3A322808"/>
    <w:rsid w:val="3A8F2BA2"/>
    <w:rsid w:val="3B25439A"/>
    <w:rsid w:val="3BE16538"/>
    <w:rsid w:val="3C360954"/>
    <w:rsid w:val="3EE405BD"/>
    <w:rsid w:val="3FC456AD"/>
    <w:rsid w:val="41F027BE"/>
    <w:rsid w:val="425659E6"/>
    <w:rsid w:val="43656A9D"/>
    <w:rsid w:val="455A14D6"/>
    <w:rsid w:val="47B538B4"/>
    <w:rsid w:val="48EB3931"/>
    <w:rsid w:val="4A5F5A11"/>
    <w:rsid w:val="4A952667"/>
    <w:rsid w:val="4AE07264"/>
    <w:rsid w:val="4AFA2747"/>
    <w:rsid w:val="4AFC3310"/>
    <w:rsid w:val="4D690F9F"/>
    <w:rsid w:val="4EAF6FA4"/>
    <w:rsid w:val="4F897F8C"/>
    <w:rsid w:val="4F9C05BB"/>
    <w:rsid w:val="52F30EA2"/>
    <w:rsid w:val="5557610E"/>
    <w:rsid w:val="555B0397"/>
    <w:rsid w:val="559F5609"/>
    <w:rsid w:val="56C20BE3"/>
    <w:rsid w:val="5ABC563B"/>
    <w:rsid w:val="5C6E2434"/>
    <w:rsid w:val="60561A1A"/>
    <w:rsid w:val="610466BA"/>
    <w:rsid w:val="643903FB"/>
    <w:rsid w:val="646215BF"/>
    <w:rsid w:val="64642544"/>
    <w:rsid w:val="65515E52"/>
    <w:rsid w:val="674B0C82"/>
    <w:rsid w:val="68BA215E"/>
    <w:rsid w:val="691471D4"/>
    <w:rsid w:val="6A6A236B"/>
    <w:rsid w:val="6AC36BF9"/>
    <w:rsid w:val="6C4F2FBF"/>
    <w:rsid w:val="6C793E03"/>
    <w:rsid w:val="6DCC309E"/>
    <w:rsid w:val="71A2507A"/>
    <w:rsid w:val="71A94A05"/>
    <w:rsid w:val="744E5F5D"/>
    <w:rsid w:val="74B67F0B"/>
    <w:rsid w:val="74BC6591"/>
    <w:rsid w:val="754E0DBB"/>
    <w:rsid w:val="7789322C"/>
    <w:rsid w:val="78B9139F"/>
    <w:rsid w:val="78C67A53"/>
    <w:rsid w:val="791374B0"/>
    <w:rsid w:val="79A3351B"/>
    <w:rsid w:val="7A2A5D7E"/>
    <w:rsid w:val="7ADB3068"/>
    <w:rsid w:val="7C590591"/>
    <w:rsid w:val="7EB65E72"/>
    <w:rsid w:val="7FF35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rPr>
      <w:rFonts w:ascii="Times New Roman" w:hAnsi="Times New Roman" w:eastAsia="宋体" w:cs="Times New Roman"/>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626</Words>
  <Characters>3573</Characters>
  <Lines>29</Lines>
  <Paragraphs>8</Paragraphs>
  <TotalTime>1</TotalTime>
  <ScaleCrop>false</ScaleCrop>
  <LinksUpToDate>false</LinksUpToDate>
  <CharactersWithSpaces>4191</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2024-02-28T07:42:00Z</dcterms:created>
  <dc:creator>夏候飞</dc:creator>
  <cp:lastModifiedBy>Administrator</cp:lastModifiedBy>
  <cp:lastPrinted>2024-03-14T10:06:00Z</cp:lastPrinted>
  <dcterms:modified xsi:type="dcterms:W3CDTF">2024-03-22T07:46:50Z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5492DDF7FD47429083C7EF20733243AB</vt:lpwstr>
  </property>
</Properties>
</file>