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方正小标宋简体" w:hAnsi="Times New Roman" w:eastAsia="方正小标宋简体" w:cs="Times New Roman"/>
          <w:color w:val="auto"/>
          <w:sz w:val="44"/>
          <w:szCs w:val="44"/>
        </w:rPr>
      </w:pPr>
      <w:bookmarkStart w:id="0" w:name="_GoBack"/>
      <w:bookmarkEnd w:id="0"/>
      <w:r>
        <w:rPr>
          <w:rFonts w:hint="eastAsia" w:ascii="方正小标宋简体" w:hAnsi="Times New Roman" w:eastAsia="方正小标宋简体" w:cs="Times New Roman"/>
          <w:color w:val="auto"/>
          <w:sz w:val="44"/>
          <w:szCs w:val="44"/>
        </w:rPr>
        <w:t>桂林市公路建设养护中心                 2024年</w:t>
      </w:r>
      <w:r>
        <w:rPr>
          <w:rFonts w:hint="eastAsia" w:ascii="方正小标宋简体" w:hAnsi="Times New Roman" w:eastAsia="方正小标宋简体" w:cs="Times New Roman"/>
          <w:color w:val="auto"/>
          <w:sz w:val="44"/>
          <w:szCs w:val="44"/>
          <w:lang w:eastAsia="zh-CN"/>
        </w:rPr>
        <w:t>单位</w:t>
      </w:r>
      <w:r>
        <w:rPr>
          <w:rFonts w:hint="eastAsia" w:ascii="方正小标宋简体" w:hAnsi="Times New Roman" w:eastAsia="方正小标宋简体" w:cs="Times New Roman"/>
          <w:color w:val="auto"/>
          <w:sz w:val="44"/>
          <w:szCs w:val="44"/>
        </w:rPr>
        <w:t>预算公开说明</w:t>
      </w:r>
    </w:p>
    <w:p>
      <w:pPr>
        <w:adjustRightInd w:val="0"/>
        <w:snapToGrid w:val="0"/>
        <w:spacing w:line="560" w:lineRule="exact"/>
        <w:ind w:right="-333" w:rightChars="-104"/>
        <w:jc w:val="center"/>
        <w:rPr>
          <w:rFonts w:hint="eastAsia" w:ascii="方正小标宋简体" w:hAnsi="Times New Roman" w:eastAsia="方正小标宋简体" w:cs="Times New Roman"/>
          <w:color w:val="auto"/>
          <w:sz w:val="44"/>
          <w:szCs w:val="44"/>
        </w:rPr>
      </w:pPr>
    </w:p>
    <w:p>
      <w:pPr>
        <w:adjustRightInd w:val="0"/>
        <w:snapToGrid w:val="0"/>
        <w:spacing w:line="560" w:lineRule="exact"/>
        <w:ind w:right="-333" w:rightChars="-104"/>
        <w:jc w:val="center"/>
        <w:rPr>
          <w:rFonts w:ascii="黑体" w:hAnsi="宋体" w:eastAsia="黑体"/>
          <w:bCs/>
          <w:color w:val="auto"/>
          <w:szCs w:val="32"/>
        </w:rPr>
      </w:pPr>
      <w:r>
        <w:rPr>
          <w:rFonts w:hint="eastAsia" w:ascii="黑体" w:hAnsi="宋体" w:eastAsia="黑体"/>
          <w:bCs/>
          <w:color w:val="auto"/>
          <w:szCs w:val="32"/>
        </w:rPr>
        <w:t>目  录</w:t>
      </w:r>
    </w:p>
    <w:p>
      <w:pPr>
        <w:adjustRightInd w:val="0"/>
        <w:snapToGrid w:val="0"/>
        <w:spacing w:line="560" w:lineRule="exact"/>
        <w:ind w:right="-333" w:rightChars="-104"/>
        <w:rPr>
          <w:rFonts w:ascii="黑体" w:hAnsi="宋体" w:eastAsia="黑体"/>
          <w:bCs/>
          <w:color w:val="auto"/>
          <w:szCs w:val="32"/>
        </w:rPr>
      </w:pPr>
    </w:p>
    <w:p>
      <w:pPr>
        <w:adjustRightInd w:val="0"/>
        <w:snapToGrid w:val="0"/>
        <w:spacing w:line="560" w:lineRule="exact"/>
        <w:ind w:right="-333" w:rightChars="-104" w:firstLine="640" w:firstLineChars="200"/>
        <w:rPr>
          <w:rFonts w:ascii="黑体" w:hAnsi="宋体" w:eastAsia="黑体"/>
          <w:bCs/>
          <w:color w:val="auto"/>
          <w:szCs w:val="32"/>
        </w:rPr>
      </w:pPr>
      <w:r>
        <w:rPr>
          <w:rFonts w:hint="eastAsia" w:ascii="黑体" w:hAnsi="宋体" w:eastAsia="黑体"/>
          <w:bCs/>
          <w:color w:val="auto"/>
          <w:szCs w:val="32"/>
        </w:rPr>
        <w:t>第一部分：</w:t>
      </w:r>
      <w:r>
        <w:rPr>
          <w:rFonts w:hint="eastAsia" w:ascii="黑体" w:hAnsi="宋体" w:eastAsia="黑体"/>
          <w:bCs/>
          <w:color w:val="auto"/>
          <w:szCs w:val="32"/>
          <w:lang w:val="en-US" w:eastAsia="zh-CN"/>
        </w:rPr>
        <w:t>单位</w:t>
      </w:r>
      <w:r>
        <w:rPr>
          <w:rFonts w:hint="eastAsia" w:ascii="黑体" w:hAnsi="宋体" w:eastAsia="黑体"/>
          <w:bCs/>
          <w:color w:val="auto"/>
          <w:szCs w:val="32"/>
        </w:rPr>
        <w:t>概况</w:t>
      </w:r>
    </w:p>
    <w:p>
      <w:pPr>
        <w:adjustRightInd w:val="0"/>
        <w:snapToGrid w:val="0"/>
        <w:spacing w:line="560" w:lineRule="exact"/>
        <w:ind w:right="-333" w:rightChars="-104" w:firstLine="640" w:firstLineChars="200"/>
        <w:rPr>
          <w:rFonts w:ascii="黑体" w:hAnsi="宋体" w:eastAsia="黑体"/>
          <w:bCs/>
          <w:color w:val="auto"/>
          <w:szCs w:val="32"/>
        </w:rPr>
      </w:pPr>
    </w:p>
    <w:p>
      <w:pPr>
        <w:adjustRightInd w:val="0"/>
        <w:snapToGrid w:val="0"/>
        <w:spacing w:line="560" w:lineRule="exact"/>
        <w:ind w:right="-333" w:rightChars="-104" w:firstLine="640" w:firstLineChars="200"/>
        <w:rPr>
          <w:rFonts w:ascii="黑体" w:hAnsi="宋体" w:eastAsia="黑体"/>
          <w:bCs/>
          <w:color w:val="auto"/>
          <w:szCs w:val="32"/>
        </w:rPr>
      </w:pPr>
      <w:r>
        <w:rPr>
          <w:rFonts w:hint="eastAsia" w:ascii="黑体" w:eastAsia="黑体"/>
          <w:color w:val="auto"/>
          <w:szCs w:val="32"/>
        </w:rPr>
        <w:t>第二部分：</w:t>
      </w:r>
      <w:r>
        <w:rPr>
          <w:rFonts w:hint="eastAsia" w:ascii="黑体" w:hAnsi="宋体" w:eastAsia="黑体"/>
          <w:color w:val="auto"/>
          <w:szCs w:val="32"/>
        </w:rPr>
        <w:t xml:space="preserve"> 2024年</w:t>
      </w:r>
      <w:r>
        <w:rPr>
          <w:rFonts w:hint="eastAsia" w:ascii="黑体" w:eastAsia="黑体"/>
          <w:color w:val="auto"/>
          <w:szCs w:val="32"/>
          <w:lang w:val="en-US" w:eastAsia="zh-CN"/>
        </w:rPr>
        <w:t>单位</w:t>
      </w:r>
      <w:r>
        <w:rPr>
          <w:rFonts w:hint="eastAsia" w:ascii="黑体" w:eastAsia="黑体"/>
          <w:color w:val="auto"/>
          <w:szCs w:val="32"/>
        </w:rPr>
        <w:t>预算情况说明</w:t>
      </w:r>
    </w:p>
    <w:p>
      <w:pPr>
        <w:adjustRightInd w:val="0"/>
        <w:snapToGrid w:val="0"/>
        <w:spacing w:line="560" w:lineRule="exact"/>
        <w:ind w:right="-333" w:rightChars="-104" w:firstLine="640" w:firstLineChars="200"/>
        <w:rPr>
          <w:rFonts w:ascii="黑体" w:hAnsi="宋体" w:eastAsia="黑体"/>
          <w:bCs/>
          <w:color w:val="auto"/>
          <w:szCs w:val="32"/>
        </w:rPr>
      </w:pPr>
    </w:p>
    <w:p>
      <w:pPr>
        <w:adjustRightInd w:val="0"/>
        <w:snapToGrid w:val="0"/>
        <w:spacing w:line="560" w:lineRule="exact"/>
        <w:ind w:right="-333" w:rightChars="-104" w:firstLine="640" w:firstLineChars="200"/>
        <w:rPr>
          <w:rFonts w:ascii="黑体" w:hAnsi="宋体" w:eastAsia="黑体"/>
          <w:bCs/>
          <w:color w:val="auto"/>
          <w:szCs w:val="32"/>
        </w:rPr>
      </w:pPr>
      <w:r>
        <w:rPr>
          <w:rFonts w:hint="eastAsia" w:ascii="黑体" w:eastAsia="黑体"/>
          <w:color w:val="auto"/>
          <w:szCs w:val="32"/>
        </w:rPr>
        <w:t>第三部分：名词解释</w:t>
      </w:r>
    </w:p>
    <w:p>
      <w:pPr>
        <w:adjustRightInd w:val="0"/>
        <w:snapToGrid w:val="0"/>
        <w:spacing w:line="560" w:lineRule="exact"/>
        <w:ind w:right="-333" w:rightChars="-104" w:firstLine="640" w:firstLineChars="200"/>
        <w:rPr>
          <w:rFonts w:ascii="黑体" w:hAnsi="宋体" w:eastAsia="黑体"/>
          <w:bCs/>
          <w:color w:val="auto"/>
          <w:szCs w:val="32"/>
        </w:rPr>
      </w:pPr>
    </w:p>
    <w:p>
      <w:pPr>
        <w:adjustRightInd w:val="0"/>
        <w:snapToGrid w:val="0"/>
        <w:spacing w:line="560" w:lineRule="exact"/>
        <w:ind w:right="-333" w:rightChars="-104" w:firstLine="640" w:firstLineChars="200"/>
        <w:rPr>
          <w:rFonts w:ascii="黑体" w:hAnsi="宋体" w:eastAsia="黑体"/>
          <w:bCs/>
          <w:color w:val="auto"/>
          <w:szCs w:val="32"/>
        </w:rPr>
      </w:pPr>
      <w:r>
        <w:rPr>
          <w:rFonts w:hint="eastAsia" w:ascii="黑体" w:hAnsi="宋体" w:eastAsia="黑体"/>
          <w:bCs/>
          <w:color w:val="auto"/>
          <w:szCs w:val="32"/>
        </w:rPr>
        <w:t>第四部分：</w:t>
      </w:r>
      <w:r>
        <w:rPr>
          <w:rFonts w:hint="eastAsia" w:ascii="黑体" w:hAnsi="宋体" w:eastAsia="黑体"/>
          <w:color w:val="auto"/>
          <w:szCs w:val="32"/>
        </w:rPr>
        <w:t xml:space="preserve"> 2024年</w:t>
      </w:r>
      <w:r>
        <w:rPr>
          <w:rFonts w:hint="eastAsia" w:ascii="黑体" w:hAnsi="宋体" w:eastAsia="黑体"/>
          <w:color w:val="auto"/>
          <w:szCs w:val="32"/>
          <w:lang w:val="en-US" w:eastAsia="zh-CN"/>
        </w:rPr>
        <w:t>单位</w:t>
      </w:r>
      <w:r>
        <w:rPr>
          <w:rFonts w:hint="eastAsia" w:ascii="黑体" w:eastAsia="黑体"/>
          <w:color w:val="auto"/>
          <w:szCs w:val="32"/>
        </w:rPr>
        <w:t>预算报表</w:t>
      </w:r>
    </w:p>
    <w:p>
      <w:pPr>
        <w:adjustRightInd w:val="0"/>
        <w:snapToGrid w:val="0"/>
        <w:spacing w:line="560" w:lineRule="exact"/>
        <w:ind w:right="-333" w:rightChars="-104" w:firstLine="640" w:firstLineChars="200"/>
        <w:rPr>
          <w:rFonts w:ascii="黑体" w:hAnsi="宋体" w:eastAsia="黑体"/>
          <w:bCs/>
          <w:color w:val="auto"/>
          <w:szCs w:val="32"/>
        </w:rPr>
      </w:pPr>
    </w:p>
    <w:p>
      <w:pPr>
        <w:keepNext w:val="0"/>
        <w:keepLines w:val="0"/>
        <w:pageBreakBefore w:val="0"/>
        <w:kinsoku/>
        <w:wordWrap/>
        <w:overflowPunct/>
        <w:topLinePunct w:val="0"/>
        <w:bidi w:val="0"/>
        <w:adjustRightInd w:val="0"/>
        <w:snapToGrid w:val="0"/>
        <w:spacing w:line="240" w:lineRule="auto"/>
        <w:ind w:right="-333" w:rightChars="-104" w:firstLine="640" w:firstLineChars="200"/>
        <w:jc w:val="center"/>
        <w:textAlignment w:val="auto"/>
        <w:rPr>
          <w:rFonts w:ascii="黑体" w:hAnsi="宋体" w:eastAsia="黑体"/>
          <w:bCs/>
          <w:color w:val="auto"/>
          <w:szCs w:val="32"/>
        </w:rPr>
      </w:pPr>
      <w:r>
        <w:rPr>
          <w:rFonts w:hint="eastAsia" w:ascii="黑体" w:hAnsi="宋体" w:eastAsia="黑体"/>
          <w:bCs/>
          <w:color w:val="auto"/>
          <w:szCs w:val="32"/>
        </w:rPr>
        <w:t>第一部分：</w:t>
      </w:r>
      <w:r>
        <w:rPr>
          <w:rFonts w:hint="eastAsia" w:ascii="黑体" w:hAnsi="宋体" w:eastAsia="黑体"/>
          <w:bCs/>
          <w:color w:val="auto"/>
          <w:szCs w:val="32"/>
          <w:lang w:eastAsia="zh-CN"/>
        </w:rPr>
        <w:t>单位</w:t>
      </w:r>
      <w:r>
        <w:rPr>
          <w:rFonts w:hint="eastAsia" w:ascii="黑体" w:hAnsi="宋体" w:eastAsia="黑体"/>
          <w:bCs/>
          <w:color w:val="auto"/>
          <w:szCs w:val="32"/>
        </w:rPr>
        <w:t>概况</w:t>
      </w:r>
    </w:p>
    <w:p>
      <w:pPr>
        <w:pStyle w:val="14"/>
        <w:keepNext w:val="0"/>
        <w:keepLines w:val="0"/>
        <w:pageBreakBefore w:val="0"/>
        <w:numPr>
          <w:ilvl w:val="0"/>
          <w:numId w:val="1"/>
        </w:numPr>
        <w:kinsoku/>
        <w:wordWrap/>
        <w:overflowPunct/>
        <w:topLinePunct w:val="0"/>
        <w:bidi w:val="0"/>
        <w:spacing w:line="240" w:lineRule="auto"/>
        <w:ind w:firstLineChars="0"/>
        <w:textAlignment w:val="auto"/>
        <w:rPr>
          <w:rFonts w:ascii="黑体" w:hAnsi="黑体" w:eastAsia="黑体"/>
          <w:color w:val="auto"/>
          <w:szCs w:val="32"/>
        </w:rPr>
      </w:pPr>
      <w:r>
        <w:rPr>
          <w:rFonts w:hint="eastAsia" w:ascii="黑体" w:hAnsi="黑体" w:eastAsia="黑体"/>
          <w:color w:val="auto"/>
          <w:szCs w:val="32"/>
        </w:rPr>
        <w:t>主要职责</w:t>
      </w:r>
    </w:p>
    <w:p>
      <w:pPr>
        <w:spacing w:line="600" w:lineRule="exact"/>
        <w:ind w:firstLine="640" w:firstLineChars="200"/>
        <w:rPr>
          <w:rFonts w:hint="eastAsia" w:ascii="Times New Roman" w:hAnsi="Times New Roman" w:cs="Times New Roman"/>
          <w:color w:val="auto"/>
          <w:szCs w:val="32"/>
          <w:u w:val="none"/>
        </w:rPr>
      </w:pPr>
      <w:r>
        <w:rPr>
          <w:rFonts w:hint="eastAsia" w:ascii="仿宋_GB2312" w:hAnsi="宋体"/>
          <w:color w:val="auto"/>
          <w:szCs w:val="32"/>
        </w:rPr>
        <w:t>（</w:t>
      </w:r>
      <w:r>
        <w:rPr>
          <w:rFonts w:hint="eastAsia" w:ascii="Times New Roman" w:hAnsi="Times New Roman" w:cs="Times New Roman"/>
          <w:color w:val="auto"/>
          <w:szCs w:val="32"/>
          <w:u w:val="none"/>
        </w:rPr>
        <w:t>一）贯彻执行国家、自治区及桂林市有关公路的法律、法规和政策。</w:t>
      </w:r>
    </w:p>
    <w:p>
      <w:pPr>
        <w:spacing w:line="600" w:lineRule="exact"/>
        <w:ind w:firstLine="640" w:firstLineChars="200"/>
        <w:rPr>
          <w:rFonts w:hint="eastAsia" w:ascii="Times New Roman" w:hAnsi="Times New Roman" w:cs="Times New Roman"/>
          <w:color w:val="auto"/>
          <w:szCs w:val="32"/>
          <w:u w:val="none"/>
        </w:rPr>
      </w:pPr>
      <w:r>
        <w:rPr>
          <w:rFonts w:hint="eastAsia" w:ascii="Times New Roman" w:hAnsi="Times New Roman" w:cs="Times New Roman"/>
          <w:color w:val="auto"/>
          <w:szCs w:val="32"/>
          <w:u w:val="none"/>
        </w:rPr>
        <w:t>（二）承担农村公路规划计划、交（竣）工验收等相关技术性、事务性工作。承担农村公路建设、养护的技术指导、市场评价、考核等相关技术性、事务性工作。</w:t>
      </w:r>
    </w:p>
    <w:p>
      <w:pPr>
        <w:spacing w:line="600" w:lineRule="exact"/>
        <w:ind w:firstLine="640" w:firstLineChars="200"/>
        <w:rPr>
          <w:rFonts w:hint="eastAsia" w:ascii="Times New Roman" w:hAnsi="Times New Roman" w:cs="Times New Roman"/>
          <w:color w:val="auto"/>
          <w:szCs w:val="32"/>
          <w:u w:val="none"/>
        </w:rPr>
      </w:pPr>
      <w:r>
        <w:rPr>
          <w:rFonts w:hint="eastAsia" w:ascii="Times New Roman" w:hAnsi="Times New Roman" w:cs="Times New Roman"/>
          <w:color w:val="auto"/>
          <w:szCs w:val="32"/>
          <w:u w:val="none"/>
        </w:rPr>
        <w:t>（三）承担农村公路行业统计分析事务性工作。</w:t>
      </w:r>
    </w:p>
    <w:p>
      <w:pPr>
        <w:spacing w:line="600" w:lineRule="exact"/>
        <w:ind w:firstLine="640" w:firstLineChars="200"/>
        <w:rPr>
          <w:rFonts w:hint="eastAsia" w:ascii="Times New Roman" w:hAnsi="Times New Roman" w:cs="Times New Roman"/>
          <w:color w:val="auto"/>
          <w:szCs w:val="32"/>
          <w:u w:val="none"/>
        </w:rPr>
      </w:pPr>
      <w:r>
        <w:rPr>
          <w:rFonts w:hint="eastAsia" w:ascii="Times New Roman" w:hAnsi="Times New Roman" w:cs="Times New Roman"/>
          <w:color w:val="auto"/>
          <w:szCs w:val="32"/>
          <w:u w:val="none"/>
        </w:rPr>
        <w:t>（四）承担农村公路技术培训以及新材料、新技术、新工艺、新设备的推广应用等工作。</w:t>
      </w:r>
    </w:p>
    <w:p>
      <w:pPr>
        <w:spacing w:line="600" w:lineRule="exact"/>
        <w:ind w:firstLine="640" w:firstLineChars="200"/>
        <w:rPr>
          <w:rFonts w:hint="eastAsia" w:ascii="Times New Roman" w:hAnsi="Times New Roman" w:cs="Times New Roman"/>
          <w:color w:val="auto"/>
          <w:szCs w:val="32"/>
          <w:u w:val="none"/>
        </w:rPr>
      </w:pPr>
      <w:r>
        <w:rPr>
          <w:rFonts w:hint="eastAsia" w:ascii="Times New Roman" w:hAnsi="Times New Roman" w:cs="Times New Roman"/>
          <w:color w:val="auto"/>
          <w:szCs w:val="32"/>
          <w:u w:val="none"/>
        </w:rPr>
        <w:t>（五）承担农村公路行业安全生产技术性、事务性工作。</w:t>
      </w:r>
    </w:p>
    <w:p>
      <w:pPr>
        <w:spacing w:line="600" w:lineRule="exact"/>
        <w:ind w:firstLine="640" w:firstLineChars="200"/>
        <w:rPr>
          <w:rFonts w:hint="eastAsia" w:ascii="Times New Roman" w:hAnsi="Times New Roman" w:cs="Times New Roman"/>
          <w:color w:val="auto"/>
          <w:szCs w:val="32"/>
          <w:u w:val="none"/>
        </w:rPr>
      </w:pPr>
      <w:r>
        <w:rPr>
          <w:rFonts w:hint="eastAsia" w:ascii="Times New Roman" w:hAnsi="Times New Roman" w:cs="Times New Roman"/>
          <w:color w:val="auto"/>
          <w:szCs w:val="32"/>
          <w:u w:val="none"/>
        </w:rPr>
        <w:t>（六）完成主管</w:t>
      </w:r>
      <w:r>
        <w:rPr>
          <w:rFonts w:hint="eastAsia" w:ascii="Times New Roman" w:hAnsi="Times New Roman" w:cs="Times New Roman"/>
          <w:color w:val="auto"/>
          <w:szCs w:val="32"/>
          <w:u w:val="none"/>
          <w:lang w:eastAsia="zh-CN"/>
        </w:rPr>
        <w:t>单位</w:t>
      </w:r>
      <w:r>
        <w:rPr>
          <w:rFonts w:hint="eastAsia" w:ascii="Times New Roman" w:hAnsi="Times New Roman" w:cs="Times New Roman"/>
          <w:color w:val="auto"/>
          <w:szCs w:val="32"/>
          <w:u w:val="none"/>
        </w:rPr>
        <w:t>交办的其他任务。</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color w:val="auto"/>
          <w:szCs w:val="32"/>
        </w:rPr>
      </w:pPr>
      <w:r>
        <w:rPr>
          <w:rFonts w:hint="eastAsia" w:ascii="黑体" w:hAnsi="黑体" w:eastAsia="黑体" w:cs="Times New Roman"/>
          <w:color w:val="auto"/>
          <w:kern w:val="2"/>
          <w:sz w:val="32"/>
          <w:szCs w:val="32"/>
          <w:lang w:val="en-US" w:eastAsia="zh-CN" w:bidi="ar-SA"/>
        </w:rPr>
        <w:t>二、机构设置情况</w:t>
      </w:r>
    </w:p>
    <w:p>
      <w:pPr>
        <w:spacing w:line="60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单位内设有办公室、人事财务科、建设科、养护科、发展统计科、安全科等六个科室。</w:t>
      </w:r>
    </w:p>
    <w:p>
      <w:pPr>
        <w:spacing w:line="600" w:lineRule="exact"/>
        <w:ind w:firstLine="640" w:firstLineChars="200"/>
        <w:rPr>
          <w:rFonts w:hint="eastAsia" w:ascii="Times New Roman" w:hAnsi="Times New Roman" w:cs="Times New Roman"/>
          <w:color w:val="auto"/>
          <w:szCs w:val="32"/>
        </w:rPr>
      </w:pPr>
      <w:r>
        <w:rPr>
          <w:rFonts w:hint="eastAsia"/>
          <w:color w:val="auto"/>
          <w:szCs w:val="32"/>
        </w:rPr>
        <w:t>（一）</w:t>
      </w:r>
      <w:r>
        <w:rPr>
          <w:rFonts w:hint="eastAsia" w:ascii="Times New Roman" w:hAnsi="Times New Roman" w:cs="Times New Roman"/>
          <w:color w:val="auto"/>
          <w:szCs w:val="32"/>
        </w:rPr>
        <w:t>办公室。负责单位日常运转工作。承担文电、会务、调研、机要保密、政务公开、档案、信息、宣传、后勤及重要文稿起草等工作。</w:t>
      </w:r>
    </w:p>
    <w:p>
      <w:pPr>
        <w:spacing w:line="600" w:lineRule="exact"/>
        <w:ind w:firstLine="640" w:firstLineChars="200"/>
        <w:rPr>
          <w:rFonts w:hint="eastAsia" w:ascii="Times New Roman" w:hAnsi="Times New Roman" w:cs="Times New Roman"/>
          <w:color w:val="auto"/>
          <w:szCs w:val="32"/>
        </w:rPr>
      </w:pPr>
      <w:r>
        <w:rPr>
          <w:rFonts w:hint="eastAsia"/>
          <w:color w:val="auto"/>
          <w:szCs w:val="32"/>
        </w:rPr>
        <w:t>（二）</w:t>
      </w:r>
      <w:r>
        <w:rPr>
          <w:rFonts w:hint="eastAsia" w:ascii="Times New Roman" w:hAnsi="Times New Roman" w:cs="Times New Roman"/>
          <w:color w:val="auto"/>
          <w:szCs w:val="32"/>
        </w:rPr>
        <w:t>人事财务科。负责单位财务、劳动工资、固定资产等工作；负责单位干部人事、教育培训、机构编制、离退休人员、绩效等工作。负责单位党群工作。</w:t>
      </w:r>
    </w:p>
    <w:p>
      <w:pPr>
        <w:spacing w:line="60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u w:val="none"/>
        </w:rPr>
        <w:t>（三）</w:t>
      </w:r>
      <w:r>
        <w:rPr>
          <w:rFonts w:hint="eastAsia" w:ascii="Times New Roman" w:hAnsi="Times New Roman" w:cs="Times New Roman"/>
          <w:color w:val="auto"/>
          <w:szCs w:val="32"/>
        </w:rPr>
        <w:t>建设科。负责农村公路建设技术性指导和相关服务工作。承担农村公路建设市场评价和考核的事务性工作，承担公路建设工程设计、交（竣）工验收的相关技术性、事务性工作，承担农村公路建设的技术培训和新材料、新技术、新工艺、新设备等推广应用工作。</w:t>
      </w:r>
    </w:p>
    <w:p>
      <w:pPr>
        <w:spacing w:line="60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四）</w:t>
      </w:r>
      <w:r>
        <w:rPr>
          <w:rFonts w:hint="eastAsia" w:ascii="Times New Roman" w:hAnsi="Times New Roman" w:cs="Times New Roman"/>
          <w:color w:val="auto"/>
          <w:szCs w:val="32"/>
        </w:rPr>
        <w:t>养护科。负责农村公路养护技术性指导和相关服务工作。承担农村公路养护市场评价和考核的事务性工作，承担公路养护工程设计、交（竣）工验收的相关技术性、事务性工作，承担农村公路养护的技术培训和新材料、新技术、新工艺、新设备等推广应用工作。</w:t>
      </w:r>
    </w:p>
    <w:p>
      <w:pPr>
        <w:spacing w:line="60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五）</w:t>
      </w:r>
      <w:r>
        <w:rPr>
          <w:rFonts w:hint="eastAsia" w:ascii="Times New Roman" w:hAnsi="Times New Roman" w:cs="Times New Roman"/>
          <w:color w:val="auto"/>
          <w:szCs w:val="32"/>
        </w:rPr>
        <w:t>发展统计科。负责公路建设养护数据汇总分析、公路基础设施普查工作。负责为公路行业发展政策、规划和标准提供技术性、事务性服务。负责为农村公路计划编制及项目前期的技术性指导提供相关服务。</w:t>
      </w:r>
    </w:p>
    <w:p>
      <w:pPr>
        <w:spacing w:line="60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六）</w:t>
      </w:r>
      <w:r>
        <w:rPr>
          <w:rFonts w:hint="eastAsia" w:ascii="Times New Roman" w:hAnsi="Times New Roman" w:cs="Times New Roman"/>
          <w:color w:val="auto"/>
          <w:szCs w:val="32"/>
        </w:rPr>
        <w:t>安全科。承担农村公路安全生产技术性、事务性工作。</w:t>
      </w:r>
    </w:p>
    <w:p>
      <w:pPr>
        <w:spacing w:line="600" w:lineRule="exact"/>
        <w:ind w:firstLine="640" w:firstLineChars="200"/>
        <w:rPr>
          <w:rFonts w:hint="eastAsia" w:ascii="Times New Roman" w:hAnsi="Times New Roman" w:cs="Times New Roman"/>
          <w:color w:val="auto"/>
          <w:szCs w:val="32"/>
        </w:rPr>
      </w:pPr>
    </w:p>
    <w:p>
      <w:pPr>
        <w:spacing w:line="600" w:lineRule="exact"/>
        <w:ind w:firstLine="640" w:firstLineChars="200"/>
        <w:rPr>
          <w:rFonts w:hint="eastAsia" w:ascii="Times New Roman" w:hAnsi="Times New Roman" w:cs="Times New Roman"/>
          <w:color w:val="auto"/>
          <w:szCs w:val="32"/>
        </w:rPr>
      </w:pPr>
    </w:p>
    <w:p>
      <w:pPr>
        <w:keepNext w:val="0"/>
        <w:keepLines w:val="0"/>
        <w:pageBreakBefore w:val="0"/>
        <w:kinsoku/>
        <w:wordWrap/>
        <w:overflowPunct/>
        <w:topLinePunct w:val="0"/>
        <w:bidi w:val="0"/>
        <w:adjustRightInd w:val="0"/>
        <w:snapToGrid w:val="0"/>
        <w:spacing w:line="240" w:lineRule="auto"/>
        <w:ind w:right="-333" w:rightChars="-104"/>
        <w:jc w:val="center"/>
        <w:textAlignment w:val="auto"/>
        <w:rPr>
          <w:rFonts w:hint="eastAsia" w:ascii="黑体" w:eastAsia="黑体"/>
          <w:color w:val="auto"/>
          <w:sz w:val="32"/>
          <w:szCs w:val="32"/>
          <w:lang w:val="en-US" w:eastAsia="zh-CN"/>
        </w:rPr>
      </w:pPr>
      <w:r>
        <w:rPr>
          <w:rFonts w:hint="eastAsia" w:ascii="黑体" w:eastAsia="黑体"/>
          <w:color w:val="auto"/>
          <w:sz w:val="32"/>
          <w:szCs w:val="32"/>
        </w:rPr>
        <w:t>第二部分</w:t>
      </w:r>
      <w:r>
        <w:rPr>
          <w:rFonts w:hint="eastAsia" w:ascii="黑体" w:eastAsia="黑体"/>
          <w:color w:val="auto"/>
          <w:sz w:val="32"/>
          <w:szCs w:val="32"/>
          <w:lang w:eastAsia="zh-CN"/>
        </w:rPr>
        <w:t>：</w:t>
      </w:r>
      <w:r>
        <w:rPr>
          <w:rFonts w:hint="eastAsia" w:ascii="黑体" w:eastAsia="黑体"/>
          <w:color w:val="auto"/>
          <w:sz w:val="32"/>
          <w:szCs w:val="32"/>
          <w:lang w:val="en-US" w:eastAsia="zh-CN"/>
        </w:rPr>
        <w:t>桂林市公路建设养护中心</w:t>
      </w:r>
    </w:p>
    <w:p>
      <w:pPr>
        <w:keepNext w:val="0"/>
        <w:keepLines w:val="0"/>
        <w:pageBreakBefore w:val="0"/>
        <w:kinsoku/>
        <w:wordWrap/>
        <w:overflowPunct/>
        <w:topLinePunct w:val="0"/>
        <w:bidi w:val="0"/>
        <w:adjustRightInd w:val="0"/>
        <w:snapToGrid w:val="0"/>
        <w:spacing w:line="240" w:lineRule="auto"/>
        <w:ind w:right="-333" w:rightChars="-104"/>
        <w:jc w:val="center"/>
        <w:textAlignment w:val="auto"/>
        <w:rPr>
          <w:rFonts w:ascii="黑体" w:hAnsi="宋体" w:eastAsia="黑体"/>
          <w:bCs/>
          <w:color w:val="auto"/>
          <w:sz w:val="36"/>
          <w:szCs w:val="36"/>
        </w:rPr>
      </w:pPr>
      <w:r>
        <w:rPr>
          <w:rFonts w:hint="eastAsia" w:ascii="黑体" w:hAnsi="宋体" w:eastAsia="黑体"/>
          <w:color w:val="auto"/>
          <w:sz w:val="32"/>
          <w:szCs w:val="32"/>
        </w:rPr>
        <w:t>2024年</w:t>
      </w:r>
      <w:r>
        <w:rPr>
          <w:rFonts w:hint="eastAsia" w:ascii="黑体" w:eastAsia="黑体"/>
          <w:color w:val="auto"/>
          <w:sz w:val="32"/>
          <w:szCs w:val="32"/>
          <w:lang w:eastAsia="zh-CN"/>
        </w:rPr>
        <w:t>单位</w:t>
      </w:r>
      <w:r>
        <w:rPr>
          <w:rFonts w:hint="eastAsia" w:ascii="黑体" w:eastAsia="黑体"/>
          <w:color w:val="auto"/>
          <w:sz w:val="32"/>
          <w:szCs w:val="32"/>
        </w:rPr>
        <w:t>预算情况说明</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黑体" w:eastAsia="黑体"/>
          <w:color w:val="auto"/>
          <w:szCs w:val="32"/>
        </w:rPr>
      </w:pPr>
      <w:r>
        <w:rPr>
          <w:rFonts w:hint="eastAsia" w:ascii="黑体" w:eastAsia="黑体"/>
          <w:color w:val="auto"/>
          <w:szCs w:val="32"/>
          <w:lang w:val="en-US" w:eastAsia="zh-CN"/>
        </w:rPr>
        <w:t>一</w:t>
      </w:r>
      <w:r>
        <w:rPr>
          <w:rFonts w:hint="eastAsia" w:ascii="黑体" w:eastAsia="黑体"/>
          <w:color w:val="auto"/>
          <w:szCs w:val="32"/>
        </w:rPr>
        <w:t>、</w:t>
      </w:r>
      <w:r>
        <w:rPr>
          <w:rFonts w:hint="eastAsia" w:ascii="黑体" w:eastAsia="黑体"/>
          <w:color w:val="auto"/>
          <w:szCs w:val="32"/>
          <w:lang w:val="en-US" w:eastAsia="zh-CN"/>
        </w:rPr>
        <w:t>单位</w:t>
      </w:r>
      <w:r>
        <w:rPr>
          <w:rFonts w:hint="eastAsia" w:ascii="黑体" w:eastAsia="黑体"/>
          <w:color w:val="auto"/>
          <w:szCs w:val="32"/>
        </w:rPr>
        <w:t>收支总体</w:t>
      </w:r>
      <w:r>
        <w:rPr>
          <w:rFonts w:hint="eastAsia" w:ascii="黑体" w:eastAsia="黑体"/>
          <w:color w:val="auto"/>
          <w:szCs w:val="32"/>
          <w:lang w:val="en-US" w:eastAsia="zh-CN"/>
        </w:rPr>
        <w:t>情况</w:t>
      </w:r>
      <w:r>
        <w:rPr>
          <w:rFonts w:hint="eastAsia" w:ascii="黑体" w:eastAsia="黑体"/>
          <w:color w:val="auto"/>
          <w:szCs w:val="32"/>
        </w:rPr>
        <w:t>说明</w:t>
      </w:r>
    </w:p>
    <w:p>
      <w:pPr>
        <w:tabs>
          <w:tab w:val="center" w:pos="4475"/>
        </w:tabs>
        <w:spacing w:line="560" w:lineRule="exact"/>
        <w:ind w:firstLine="645"/>
        <w:rPr>
          <w:rFonts w:hint="eastAsia" w:ascii="仿宋_GB2312" w:hAnsi="仿宋_GB2312" w:eastAsia="仿宋_GB2312" w:cs="仿宋_GB2312"/>
          <w:color w:val="auto"/>
          <w:sz w:val="30"/>
          <w:szCs w:val="30"/>
          <w:lang w:eastAsia="zh-CN"/>
        </w:rPr>
      </w:pPr>
      <w:r>
        <w:rPr>
          <w:rFonts w:hint="eastAsia" w:ascii="仿宋_GB2312" w:hAnsi="Times New Roman" w:cs="Times New Roman"/>
          <w:color w:val="auto"/>
          <w:szCs w:val="32"/>
        </w:rPr>
        <w:t>我</w:t>
      </w:r>
      <w:r>
        <w:rPr>
          <w:rFonts w:hint="eastAsia" w:ascii="仿宋_GB2312" w:hAnsi="Times New Roman" w:cs="Times New Roman"/>
          <w:color w:val="auto"/>
          <w:szCs w:val="32"/>
          <w:lang w:eastAsia="zh-CN"/>
        </w:rPr>
        <w:t>单位</w:t>
      </w:r>
      <w:r>
        <w:rPr>
          <w:rFonts w:hint="eastAsia" w:ascii="仿宋_GB2312" w:hAnsi="Times New Roman" w:cs="Times New Roman"/>
          <w:color w:val="auto"/>
          <w:szCs w:val="32"/>
        </w:rPr>
        <w:t>总收入</w:t>
      </w:r>
      <w:r>
        <w:rPr>
          <w:rFonts w:hint="eastAsia" w:ascii="仿宋_GB2312" w:hAnsi="Times New Roman" w:cs="Times New Roman"/>
          <w:color w:val="auto"/>
          <w:szCs w:val="32"/>
          <w:lang w:val="en-US" w:eastAsia="zh-CN"/>
        </w:rPr>
        <w:t>633.40</w:t>
      </w:r>
      <w:r>
        <w:rPr>
          <w:rFonts w:hint="eastAsia" w:ascii="仿宋_GB2312" w:hAnsi="Times New Roman" w:cs="Times New Roman"/>
          <w:color w:val="auto"/>
          <w:szCs w:val="32"/>
        </w:rPr>
        <w:t>万元，总支出</w:t>
      </w:r>
      <w:r>
        <w:rPr>
          <w:rFonts w:hint="eastAsia" w:ascii="仿宋_GB2312" w:hAnsi="Times New Roman" w:cs="Times New Roman"/>
          <w:color w:val="auto"/>
          <w:szCs w:val="32"/>
          <w:lang w:val="en-US" w:eastAsia="zh-CN"/>
        </w:rPr>
        <w:t>633.40</w:t>
      </w:r>
      <w:r>
        <w:rPr>
          <w:rFonts w:hint="eastAsia" w:ascii="仿宋_GB2312" w:hAnsi="Times New Roman" w:cs="Times New Roman"/>
          <w:color w:val="auto"/>
          <w:szCs w:val="32"/>
        </w:rPr>
        <w:t>万元（不含财政拨款上年未列支结转收支数）</w:t>
      </w:r>
      <w:r>
        <w:rPr>
          <w:rFonts w:ascii="仿宋_GB2312" w:hAnsi="宋体" w:eastAsia="仿宋_GB2312" w:cs="仿宋_GB2312"/>
          <w:b w:val="0"/>
          <w:bCs w:val="0"/>
          <w:i w:val="0"/>
          <w:iCs w:val="0"/>
          <w:caps w:val="0"/>
          <w:color w:val="auto"/>
          <w:spacing w:val="0"/>
          <w:sz w:val="31"/>
          <w:szCs w:val="31"/>
          <w:shd w:val="clear" w:fill="FFFFFF"/>
        </w:rPr>
        <w:t>。</w:t>
      </w:r>
      <w:r>
        <w:rPr>
          <w:rFonts w:hint="eastAsia" w:ascii="仿宋_GB2312" w:hAnsi="Times New Roman" w:cs="Times New Roman"/>
          <w:color w:val="auto"/>
          <w:szCs w:val="32"/>
        </w:rPr>
        <w:t>总收入较上年增长</w:t>
      </w:r>
      <w:r>
        <w:rPr>
          <w:rFonts w:hint="eastAsia" w:ascii="仿宋_GB2312" w:hAnsi="Times New Roman" w:cs="Times New Roman"/>
          <w:color w:val="auto"/>
          <w:szCs w:val="32"/>
          <w:lang w:val="en-US" w:eastAsia="zh-CN"/>
        </w:rPr>
        <w:t>19.89</w:t>
      </w:r>
      <w:r>
        <w:rPr>
          <w:rFonts w:hint="eastAsia" w:ascii="仿宋_GB2312" w:hAnsi="Times New Roman" w:cs="Times New Roman"/>
          <w:color w:val="auto"/>
          <w:szCs w:val="32"/>
        </w:rPr>
        <w:t xml:space="preserve"> %</w:t>
      </w:r>
      <w:r>
        <w:rPr>
          <w:rFonts w:hint="eastAsia" w:ascii="仿宋_GB2312" w:cs="Times New Roman"/>
          <w:color w:val="auto"/>
          <w:szCs w:val="32"/>
          <w:lang w:eastAsia="zh-CN"/>
        </w:rPr>
        <w:t>，</w:t>
      </w:r>
      <w:r>
        <w:rPr>
          <w:rFonts w:hint="eastAsia" w:ascii="仿宋_GB2312" w:cs="Times New Roman"/>
          <w:color w:val="auto"/>
          <w:szCs w:val="32"/>
          <w:lang w:val="en-US" w:eastAsia="zh-CN"/>
        </w:rPr>
        <w:t>主要原因是</w:t>
      </w:r>
      <w:r>
        <w:rPr>
          <w:rFonts w:ascii="仿宋_GB2312" w:hAnsi="宋体" w:eastAsia="仿宋_GB2312" w:cs="仿宋_GB2312"/>
          <w:b w:val="0"/>
          <w:bCs w:val="0"/>
          <w:i w:val="0"/>
          <w:iCs w:val="0"/>
          <w:caps w:val="0"/>
          <w:color w:val="auto"/>
          <w:spacing w:val="0"/>
          <w:sz w:val="31"/>
          <w:szCs w:val="31"/>
          <w:shd w:val="clear" w:fill="FFFFFF"/>
        </w:rPr>
        <w:t>在职人员增加，</w:t>
      </w:r>
      <w:r>
        <w:rPr>
          <w:rFonts w:hint="eastAsia" w:ascii="仿宋_GB2312" w:hAnsi="宋体" w:cs="仿宋_GB2312"/>
          <w:b w:val="0"/>
          <w:bCs w:val="0"/>
          <w:i w:val="0"/>
          <w:iCs w:val="0"/>
          <w:caps w:val="0"/>
          <w:color w:val="auto"/>
          <w:spacing w:val="0"/>
          <w:sz w:val="31"/>
          <w:szCs w:val="31"/>
          <w:shd w:val="clear" w:fill="FFFFFF"/>
          <w:lang w:val="en-US" w:eastAsia="zh-CN"/>
        </w:rPr>
        <w:t>及</w:t>
      </w:r>
      <w:r>
        <w:rPr>
          <w:rFonts w:ascii="仿宋_GB2312" w:hAnsi="宋体" w:eastAsia="仿宋_GB2312" w:cs="仿宋_GB2312"/>
          <w:b w:val="0"/>
          <w:bCs w:val="0"/>
          <w:i w:val="0"/>
          <w:iCs w:val="0"/>
          <w:caps w:val="0"/>
          <w:color w:val="auto"/>
          <w:spacing w:val="0"/>
          <w:sz w:val="31"/>
          <w:szCs w:val="31"/>
          <w:shd w:val="clear" w:fill="FFFFFF"/>
        </w:rPr>
        <w:t>退休人员补贴标准提高</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Cs w:val="32"/>
        </w:rPr>
        <w:t>总支出较上年增长</w:t>
      </w:r>
      <w:r>
        <w:rPr>
          <w:rFonts w:hint="eastAsia" w:ascii="仿宋_GB2312" w:hAnsi="仿宋_GB2312" w:eastAsia="仿宋_GB2312" w:cs="仿宋_GB2312"/>
          <w:color w:val="auto"/>
          <w:szCs w:val="32"/>
          <w:lang w:val="en-US" w:eastAsia="zh-CN"/>
        </w:rPr>
        <w:t>19.89</w:t>
      </w:r>
      <w:r>
        <w:rPr>
          <w:rFonts w:hint="eastAsia" w:ascii="仿宋_GB2312" w:hAnsi="仿宋_GB2312" w:eastAsia="仿宋_GB2312" w:cs="仿宋_GB2312"/>
          <w:color w:val="auto"/>
          <w:szCs w:val="32"/>
        </w:rPr>
        <w:t>%</w:t>
      </w:r>
      <w:r>
        <w:rPr>
          <w:rFonts w:hint="eastAsia" w:ascii="仿宋_GB2312" w:hAnsi="仿宋_GB2312" w:cs="仿宋_GB2312"/>
          <w:color w:val="auto"/>
          <w:szCs w:val="32"/>
          <w:lang w:eastAsia="zh-CN"/>
        </w:rPr>
        <w:t>，</w:t>
      </w:r>
      <w:r>
        <w:rPr>
          <w:rFonts w:hint="eastAsia" w:ascii="仿宋_GB2312" w:cs="Times New Roman"/>
          <w:color w:val="auto"/>
          <w:szCs w:val="32"/>
          <w:lang w:val="en-US" w:eastAsia="zh-CN"/>
        </w:rPr>
        <w:t>主要原因是</w:t>
      </w:r>
      <w:r>
        <w:rPr>
          <w:rFonts w:ascii="仿宋_GB2312" w:hAnsi="宋体" w:eastAsia="仿宋_GB2312" w:cs="仿宋_GB2312"/>
          <w:b w:val="0"/>
          <w:bCs w:val="0"/>
          <w:i w:val="0"/>
          <w:iCs w:val="0"/>
          <w:caps w:val="0"/>
          <w:color w:val="auto"/>
          <w:spacing w:val="0"/>
          <w:sz w:val="31"/>
          <w:szCs w:val="31"/>
          <w:shd w:val="clear" w:fill="FFFFFF"/>
        </w:rPr>
        <w:t>在职人员增加，</w:t>
      </w:r>
      <w:r>
        <w:rPr>
          <w:rFonts w:hint="eastAsia" w:ascii="仿宋_GB2312" w:hAnsi="宋体" w:cs="仿宋_GB2312"/>
          <w:b w:val="0"/>
          <w:bCs w:val="0"/>
          <w:i w:val="0"/>
          <w:iCs w:val="0"/>
          <w:caps w:val="0"/>
          <w:color w:val="auto"/>
          <w:spacing w:val="0"/>
          <w:sz w:val="31"/>
          <w:szCs w:val="31"/>
          <w:shd w:val="clear" w:fill="FFFFFF"/>
          <w:lang w:val="en-US" w:eastAsia="zh-CN"/>
        </w:rPr>
        <w:t>及</w:t>
      </w:r>
      <w:r>
        <w:rPr>
          <w:rFonts w:ascii="仿宋_GB2312" w:hAnsi="宋体" w:eastAsia="仿宋_GB2312" w:cs="仿宋_GB2312"/>
          <w:b w:val="0"/>
          <w:bCs w:val="0"/>
          <w:i w:val="0"/>
          <w:iCs w:val="0"/>
          <w:caps w:val="0"/>
          <w:color w:val="auto"/>
          <w:spacing w:val="0"/>
          <w:sz w:val="31"/>
          <w:szCs w:val="31"/>
          <w:shd w:val="clear" w:fill="FFFFFF"/>
        </w:rPr>
        <w:t>退休人员补贴标准提高</w:t>
      </w:r>
      <w:r>
        <w:rPr>
          <w:rFonts w:hint="eastAsia" w:ascii="仿宋_GB2312" w:hAnsi="仿宋_GB2312" w:eastAsia="仿宋_GB2312" w:cs="仿宋_GB2312"/>
          <w:color w:val="auto"/>
          <w:sz w:val="30"/>
          <w:szCs w:val="30"/>
          <w:lang w:eastAsia="zh-CN"/>
        </w:rPr>
        <w:t>。</w:t>
      </w:r>
    </w:p>
    <w:p>
      <w:pPr>
        <w:keepNext w:val="0"/>
        <w:keepLines w:val="0"/>
        <w:pageBreakBefore w:val="0"/>
        <w:tabs>
          <w:tab w:val="center" w:pos="4475"/>
        </w:tabs>
        <w:kinsoku/>
        <w:wordWrap/>
        <w:overflowPunct/>
        <w:topLinePunct w:val="0"/>
        <w:bidi w:val="0"/>
        <w:spacing w:line="240" w:lineRule="auto"/>
        <w:ind w:firstLine="645"/>
        <w:textAlignment w:val="auto"/>
        <w:rPr>
          <w:rFonts w:ascii="黑体" w:eastAsia="黑体"/>
          <w:color w:val="auto"/>
          <w:szCs w:val="32"/>
        </w:rPr>
      </w:pPr>
      <w:r>
        <w:rPr>
          <w:rFonts w:hint="eastAsia" w:ascii="黑体" w:eastAsia="黑体"/>
          <w:color w:val="auto"/>
          <w:szCs w:val="32"/>
        </w:rPr>
        <w:t>二、</w:t>
      </w:r>
      <w:r>
        <w:rPr>
          <w:rFonts w:hint="eastAsia" w:ascii="黑体" w:eastAsia="黑体"/>
          <w:color w:val="auto"/>
          <w:szCs w:val="32"/>
          <w:lang w:eastAsia="zh-CN"/>
        </w:rPr>
        <w:t>单位</w:t>
      </w:r>
      <w:r>
        <w:rPr>
          <w:rFonts w:hint="eastAsia" w:ascii="黑体" w:eastAsia="黑体"/>
          <w:color w:val="auto"/>
          <w:szCs w:val="32"/>
        </w:rPr>
        <w:t>收入总体情况说明</w:t>
      </w:r>
    </w:p>
    <w:p>
      <w:pPr>
        <w:tabs>
          <w:tab w:val="center" w:pos="4475"/>
        </w:tabs>
        <w:spacing w:line="560"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总收入</w:t>
      </w:r>
      <w:r>
        <w:rPr>
          <w:rFonts w:hint="eastAsia" w:ascii="仿宋_GB2312" w:hAnsi="仿宋_GB2312" w:eastAsia="仿宋_GB2312" w:cs="仿宋_GB2312"/>
          <w:color w:val="auto"/>
          <w:sz w:val="32"/>
          <w:szCs w:val="32"/>
          <w:lang w:val="en-US" w:eastAsia="zh-CN"/>
        </w:rPr>
        <w:t>633.40</w:t>
      </w:r>
      <w:r>
        <w:rPr>
          <w:rFonts w:hint="eastAsia" w:ascii="仿宋_GB2312" w:hAnsi="仿宋_GB2312" w:eastAsia="仿宋_GB2312" w:cs="仿宋_GB2312"/>
          <w:color w:val="auto"/>
          <w:sz w:val="32"/>
          <w:szCs w:val="32"/>
        </w:rPr>
        <w:t>万元，较上年增长</w:t>
      </w:r>
      <w:r>
        <w:rPr>
          <w:rFonts w:hint="eastAsia" w:ascii="仿宋_GB2312" w:hAnsi="仿宋_GB2312" w:eastAsia="仿宋_GB2312" w:cs="仿宋_GB2312"/>
          <w:color w:val="auto"/>
          <w:sz w:val="32"/>
          <w:szCs w:val="32"/>
          <w:lang w:val="en-US" w:eastAsia="zh-CN"/>
        </w:rPr>
        <w:t>19.89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主要</w:t>
      </w:r>
      <w:r>
        <w:rPr>
          <w:rFonts w:hint="eastAsia" w:ascii="仿宋_GB2312" w:hAnsi="仿宋_GB2312" w:eastAsia="仿宋_GB2312" w:cs="仿宋_GB2312"/>
          <w:color w:val="auto"/>
          <w:sz w:val="32"/>
          <w:szCs w:val="32"/>
          <w:lang w:val="en-US" w:eastAsia="zh-CN"/>
        </w:rPr>
        <w:t>包括：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739" w:firstLineChars="231"/>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1.一般公共预算支出458.70万元，</w:t>
      </w:r>
      <w:r>
        <w:rPr>
          <w:rFonts w:hint="eastAsia" w:ascii="仿宋_GB2312" w:hAnsi="仿宋_GB2312" w:eastAsia="仿宋_GB2312" w:cs="仿宋_GB2312"/>
          <w:color w:val="auto"/>
          <w:sz w:val="32"/>
          <w:szCs w:val="32"/>
        </w:rPr>
        <w:t>较上年</w:t>
      </w:r>
      <w:r>
        <w:rPr>
          <w:rFonts w:hint="eastAsia" w:ascii="仿宋_GB2312" w:hAnsi="仿宋_GB2312" w:eastAsia="仿宋_GB2312" w:cs="仿宋_GB2312"/>
          <w:color w:val="auto"/>
          <w:sz w:val="32"/>
          <w:szCs w:val="32"/>
          <w:lang w:val="en-US" w:eastAsia="zh-CN"/>
        </w:rPr>
        <w:t>下降13.18％。其中：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739" w:firstLineChars="231"/>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（1）市本级458.70万元，较上年增长18.86％，主要原因是：</w:t>
      </w:r>
      <w:r>
        <w:rPr>
          <w:rFonts w:ascii="仿宋_GB2312" w:hAnsi="宋体" w:eastAsia="仿宋_GB2312" w:cs="仿宋_GB2312"/>
          <w:b w:val="0"/>
          <w:bCs w:val="0"/>
          <w:i w:val="0"/>
          <w:iCs w:val="0"/>
          <w:caps w:val="0"/>
          <w:color w:val="auto"/>
          <w:spacing w:val="0"/>
          <w:sz w:val="31"/>
          <w:szCs w:val="31"/>
          <w:shd w:val="clear" w:fill="FFFFFF"/>
        </w:rPr>
        <w:t>在职人员增加</w:t>
      </w:r>
      <w:r>
        <w:rPr>
          <w:rFonts w:hint="eastAsia" w:ascii="仿宋_GB2312" w:hAnsi="仿宋_GB2312" w:eastAsia="仿宋_GB2312" w:cs="仿宋_GB2312"/>
          <w:color w:val="auto"/>
          <w:sz w:val="32"/>
          <w:szCs w:val="32"/>
          <w:lang w:val="en-US" w:eastAsia="zh-CN"/>
        </w:rPr>
        <w:t>，及退休人员补贴标准提高。</w:t>
      </w:r>
    </w:p>
    <w:p>
      <w:pPr>
        <w:tabs>
          <w:tab w:val="center" w:pos="4475"/>
        </w:tabs>
        <w:spacing w:line="560"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（2）燃油税费改革中央转移支付资金0万元，较上年下降100％，主要原因是：</w:t>
      </w:r>
      <w:r>
        <w:rPr>
          <w:rFonts w:hint="eastAsia" w:ascii="仿宋_GB2312" w:hAnsi="仿宋_GB2312" w:eastAsia="仿宋_GB2312" w:cs="仿宋_GB2312"/>
          <w:color w:val="auto"/>
          <w:kern w:val="0"/>
          <w:sz w:val="32"/>
          <w:szCs w:val="32"/>
          <w:lang w:val="en-US" w:eastAsia="zh-CN" w:bidi="ar-SA"/>
        </w:rPr>
        <w:t>按照预算编制要求，自治区下达成品油税费改革转移支付资金纳入市本级预算统筹安排，同时由市本级政府性基金收入安排2024年</w:t>
      </w:r>
      <w:r>
        <w:rPr>
          <w:rFonts w:hint="eastAsia" w:ascii="仿宋_GB2312" w:hAnsi="仿宋_GB2312" w:cs="仿宋_GB2312"/>
          <w:color w:val="auto"/>
          <w:kern w:val="0"/>
          <w:sz w:val="32"/>
          <w:szCs w:val="32"/>
          <w:lang w:val="en-US" w:eastAsia="zh-CN" w:bidi="ar-SA"/>
        </w:rPr>
        <w:t>单位预算</w:t>
      </w:r>
      <w:r>
        <w:rPr>
          <w:rFonts w:hint="eastAsia" w:ascii="仿宋_GB2312" w:hAnsi="仿宋_GB2312" w:eastAsia="仿宋_GB2312" w:cs="仿宋_GB2312"/>
          <w:color w:val="auto"/>
          <w:kern w:val="0"/>
          <w:sz w:val="32"/>
          <w:szCs w:val="32"/>
          <w:lang w:val="en-US" w:eastAsia="zh-CN" w:bidi="ar-SA"/>
        </w:rPr>
        <w:t>收入。</w:t>
      </w:r>
    </w:p>
    <w:p>
      <w:pPr>
        <w:tabs>
          <w:tab w:val="center" w:pos="4475"/>
        </w:tabs>
        <w:spacing w:line="560" w:lineRule="exact"/>
        <w:ind w:firstLine="645"/>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2.政府性基金174.71万元，</w:t>
      </w:r>
      <w:r>
        <w:rPr>
          <w:rFonts w:hint="eastAsia" w:ascii="仿宋_GB2312" w:hAnsi="仿宋_GB2312" w:eastAsia="仿宋_GB2312" w:cs="仿宋_GB2312"/>
          <w:color w:val="auto"/>
          <w:sz w:val="32"/>
          <w:szCs w:val="32"/>
          <w:lang w:val="en-US" w:eastAsia="zh-CN"/>
        </w:rPr>
        <w:t>较上年</w:t>
      </w:r>
      <w:r>
        <w:rPr>
          <w:rFonts w:hint="eastAsia" w:ascii="仿宋_GB2312" w:hAnsi="仿宋_GB2312" w:cs="仿宋_GB2312"/>
          <w:color w:val="auto"/>
          <w:kern w:val="0"/>
          <w:sz w:val="32"/>
          <w:szCs w:val="32"/>
          <w:lang w:val="en-US" w:eastAsia="zh-CN" w:bidi="ar-SA"/>
        </w:rPr>
        <w:t>增长</w:t>
      </w:r>
      <w:r>
        <w:rPr>
          <w:rFonts w:hint="eastAsia" w:ascii="仿宋_GB2312" w:hAnsi="仿宋_GB2312" w:eastAsia="仿宋_GB2312" w:cs="仿宋_GB2312"/>
          <w:color w:val="auto"/>
          <w:kern w:val="0"/>
          <w:sz w:val="32"/>
          <w:szCs w:val="32"/>
          <w:lang w:val="en-US" w:eastAsia="zh-CN" w:bidi="ar-SA"/>
        </w:rPr>
        <w:t>100%。主要原因是：按照预算编制要求，自治区下达成品油税费改革转移支付资金纳入市本级预算统筹安排，同时由市本级政府性基金收入安排2024年</w:t>
      </w:r>
      <w:r>
        <w:rPr>
          <w:rFonts w:hint="eastAsia" w:ascii="仿宋_GB2312" w:hAnsi="仿宋_GB2312" w:cs="仿宋_GB2312"/>
          <w:color w:val="auto"/>
          <w:kern w:val="0"/>
          <w:sz w:val="32"/>
          <w:szCs w:val="32"/>
          <w:lang w:val="en-US" w:eastAsia="zh-CN" w:bidi="ar-SA"/>
        </w:rPr>
        <w:t>单位预算</w:t>
      </w:r>
      <w:r>
        <w:rPr>
          <w:rFonts w:hint="eastAsia" w:ascii="仿宋_GB2312" w:hAnsi="仿宋_GB2312" w:eastAsia="仿宋_GB2312" w:cs="仿宋_GB2312"/>
          <w:color w:val="auto"/>
          <w:kern w:val="0"/>
          <w:sz w:val="32"/>
          <w:szCs w:val="32"/>
          <w:lang w:val="en-US" w:eastAsia="zh-CN" w:bidi="ar-SA"/>
        </w:rPr>
        <w:t>收入。</w:t>
      </w:r>
    </w:p>
    <w:p>
      <w:pPr>
        <w:keepNext w:val="0"/>
        <w:keepLines w:val="0"/>
        <w:pageBreakBefore w:val="0"/>
        <w:tabs>
          <w:tab w:val="center" w:pos="4475"/>
        </w:tabs>
        <w:kinsoku/>
        <w:wordWrap/>
        <w:overflowPunct/>
        <w:topLinePunct w:val="0"/>
        <w:bidi w:val="0"/>
        <w:spacing w:line="240" w:lineRule="auto"/>
        <w:ind w:firstLine="645"/>
        <w:textAlignment w:val="auto"/>
        <w:rPr>
          <w:rFonts w:ascii="黑体" w:eastAsia="黑体"/>
          <w:color w:val="auto"/>
          <w:szCs w:val="32"/>
        </w:rPr>
      </w:pPr>
      <w:r>
        <w:rPr>
          <w:rFonts w:hint="eastAsia" w:ascii="黑体" w:eastAsia="黑体"/>
          <w:color w:val="auto"/>
          <w:szCs w:val="32"/>
        </w:rPr>
        <w:t>三、</w:t>
      </w:r>
      <w:r>
        <w:rPr>
          <w:rFonts w:hint="eastAsia" w:ascii="黑体" w:eastAsia="黑体"/>
          <w:color w:val="auto"/>
          <w:szCs w:val="32"/>
          <w:lang w:eastAsia="zh-CN"/>
        </w:rPr>
        <w:t>单位</w:t>
      </w:r>
      <w:r>
        <w:rPr>
          <w:rFonts w:hint="eastAsia" w:ascii="黑体" w:eastAsia="黑体"/>
          <w:color w:val="auto"/>
          <w:szCs w:val="32"/>
        </w:rPr>
        <w:t>支出总体情况说明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00" w:firstLineChars="250"/>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总支出</w:t>
      </w:r>
      <w:r>
        <w:rPr>
          <w:rFonts w:hint="eastAsia" w:ascii="仿宋_GB2312" w:hAnsi="仿宋_GB2312" w:eastAsia="仿宋_GB2312" w:cs="仿宋_GB2312"/>
          <w:color w:val="auto"/>
          <w:sz w:val="32"/>
          <w:szCs w:val="32"/>
          <w:lang w:val="en-US" w:eastAsia="zh-CN"/>
        </w:rPr>
        <w:t>633.40</w:t>
      </w:r>
      <w:r>
        <w:rPr>
          <w:rFonts w:hint="eastAsia" w:ascii="仿宋_GB2312" w:hAnsi="仿宋_GB2312" w:eastAsia="仿宋_GB2312" w:cs="仿宋_GB2312"/>
          <w:color w:val="auto"/>
          <w:sz w:val="32"/>
          <w:szCs w:val="32"/>
        </w:rPr>
        <w:t>万元，较上年增长</w:t>
      </w:r>
      <w:r>
        <w:rPr>
          <w:rFonts w:hint="eastAsia" w:ascii="仿宋_GB2312" w:hAnsi="仿宋_GB2312" w:eastAsia="仿宋_GB2312" w:cs="仿宋_GB2312"/>
          <w:color w:val="auto"/>
          <w:sz w:val="32"/>
          <w:szCs w:val="32"/>
          <w:lang w:val="en-US" w:eastAsia="zh-CN"/>
        </w:rPr>
        <w:t>19.89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主要包括</w:t>
      </w:r>
      <w:r>
        <w:rPr>
          <w:rFonts w:hint="eastAsia" w:ascii="仿宋_GB2312" w:hAnsi="仿宋_GB2312" w:eastAsia="仿宋_GB2312" w:cs="仿宋_GB2312"/>
          <w:color w:val="auto"/>
          <w:sz w:val="32"/>
          <w:szCs w:val="32"/>
        </w:rPr>
        <w:t>：</w:t>
      </w:r>
    </w:p>
    <w:p>
      <w:pPr>
        <w:pStyle w:val="4"/>
        <w:keepNext w:val="0"/>
        <w:keepLines w:val="0"/>
        <w:pageBreakBefore w:val="0"/>
        <w:kinsoku/>
        <w:wordWrap/>
        <w:overflowPunct/>
        <w:topLinePunct w:val="0"/>
        <w:bidi w:val="0"/>
        <w:adjustRightInd w:val="0"/>
        <w:snapToGrid w:val="0"/>
        <w:spacing w:line="240" w:lineRule="auto"/>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一）按支出功能分类科目划分，共分为8类，其中：</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事业单位离退休18.29万元，占支出总预算2.89％，同比增加5.2万元，增长39.72%。主要原因是退休人员补贴标准</w:t>
      </w:r>
      <w:r>
        <w:rPr>
          <w:rFonts w:hint="eastAsia" w:ascii="仿宋_GB2312" w:hAnsi="仿宋_GB2312" w:cs="仿宋_GB2312"/>
          <w:color w:val="auto"/>
          <w:kern w:val="0"/>
          <w:sz w:val="32"/>
          <w:szCs w:val="32"/>
          <w:lang w:val="en-US" w:eastAsia="zh-CN" w:bidi="ar-SA"/>
        </w:rPr>
        <w:t>提高</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机关事业单位基本养老保险缴费支出37.94万元，占支出总预算5.99％，同比增加6.77万元，增长21.72%</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主要原因是</w:t>
      </w:r>
      <w:r>
        <w:rPr>
          <w:rFonts w:hint="eastAsia" w:ascii="仿宋_GB2312" w:hAnsi="仿宋_GB2312" w:cs="仿宋_GB2312"/>
          <w:color w:val="auto"/>
          <w:kern w:val="0"/>
          <w:sz w:val="32"/>
          <w:szCs w:val="32"/>
          <w:lang w:val="en-US" w:eastAsia="zh-CN" w:bidi="ar-SA"/>
        </w:rPr>
        <w:t>在职人员增加</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机关事业单位职业年金缴费支出18.97万元，占支出总预算2.99％，同比增加3.39万元，增长21.76%</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主要原因是</w:t>
      </w:r>
      <w:r>
        <w:rPr>
          <w:rFonts w:hint="eastAsia" w:ascii="仿宋_GB2312" w:hAnsi="仿宋_GB2312" w:cs="仿宋_GB2312"/>
          <w:color w:val="auto"/>
          <w:kern w:val="0"/>
          <w:sz w:val="32"/>
          <w:szCs w:val="32"/>
          <w:lang w:val="en-US" w:eastAsia="zh-CN" w:bidi="ar-SA"/>
        </w:rPr>
        <w:t>在职人员增加</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事业单位医疗21.81万元，占支出总预算3.44％，同比增加3.89万元，增长21.71%</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主要原因是</w:t>
      </w:r>
      <w:r>
        <w:rPr>
          <w:rFonts w:hint="eastAsia" w:ascii="仿宋_GB2312" w:hAnsi="仿宋_GB2312" w:cs="仿宋_GB2312"/>
          <w:color w:val="auto"/>
          <w:kern w:val="0"/>
          <w:sz w:val="32"/>
          <w:szCs w:val="32"/>
          <w:lang w:val="en-US" w:eastAsia="zh-CN" w:bidi="ar-SA"/>
        </w:rPr>
        <w:t>在职人员增加</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公务员医疗补助16.61万元，占支出总预算2.62％，同比增加2.38万元，增长16.73%</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主要原因是</w:t>
      </w:r>
      <w:r>
        <w:rPr>
          <w:rFonts w:hint="eastAsia" w:ascii="仿宋_GB2312" w:hAnsi="仿宋_GB2312" w:cs="仿宋_GB2312"/>
          <w:color w:val="auto"/>
          <w:kern w:val="0"/>
          <w:sz w:val="32"/>
          <w:szCs w:val="32"/>
          <w:lang w:val="en-US" w:eastAsia="zh-CN" w:bidi="ar-SA"/>
        </w:rPr>
        <w:t>在职人员增加</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tabs>
          <w:tab w:val="center" w:pos="4475"/>
        </w:tabs>
        <w:kinsoku/>
        <w:wordWrap/>
        <w:overflowPunct/>
        <w:topLinePunct w:val="0"/>
        <w:bidi w:val="0"/>
        <w:spacing w:line="240" w:lineRule="auto"/>
        <w:ind w:firstLine="645"/>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其他国有土地使用权出让收入安排的支出174.71万元，占支出总预算27.58％，同比增加174.71万元，增长100%。主要原因是按照预算编制要求，自治区下达成品油税费改革转移支付资金纳入市本级预算统筹安排，同时由市本级政府性基金收入安排2024年</w:t>
      </w:r>
      <w:r>
        <w:rPr>
          <w:rFonts w:hint="eastAsia" w:ascii="仿宋_GB2312" w:hAnsi="仿宋_GB2312" w:cs="仿宋_GB2312"/>
          <w:color w:val="auto"/>
          <w:kern w:val="0"/>
          <w:sz w:val="32"/>
          <w:szCs w:val="32"/>
          <w:lang w:val="en-US" w:eastAsia="zh-CN" w:bidi="ar-SA"/>
        </w:rPr>
        <w:t>单位预算</w:t>
      </w:r>
      <w:r>
        <w:rPr>
          <w:rFonts w:hint="eastAsia" w:ascii="仿宋_GB2312" w:hAnsi="仿宋_GB2312" w:eastAsia="仿宋_GB2312" w:cs="仿宋_GB2312"/>
          <w:color w:val="auto"/>
          <w:kern w:val="0"/>
          <w:sz w:val="32"/>
          <w:szCs w:val="32"/>
          <w:lang w:val="en-US" w:eastAsia="zh-CN" w:bidi="ar-SA"/>
        </w:rPr>
        <w:t>收入。</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其他公路水路运输支出316.63万元，占支出总预算49.99％，同比减少93万元，下降22.70%。主要原因是按照2024年预算编制要求，从市本级非</w:t>
      </w:r>
      <w:r>
        <w:rPr>
          <w:rFonts w:hint="eastAsia" w:ascii="仿宋_GB2312" w:hAnsi="仿宋_GB2312" w:cs="仿宋_GB2312"/>
          <w:color w:val="auto"/>
          <w:kern w:val="0"/>
          <w:sz w:val="32"/>
          <w:szCs w:val="32"/>
          <w:lang w:val="en-US" w:eastAsia="zh-CN" w:bidi="ar-SA"/>
        </w:rPr>
        <w:t>单位预算</w:t>
      </w:r>
      <w:r>
        <w:rPr>
          <w:rFonts w:hint="eastAsia" w:ascii="仿宋_GB2312" w:hAnsi="仿宋_GB2312" w:eastAsia="仿宋_GB2312" w:cs="仿宋_GB2312"/>
          <w:color w:val="auto"/>
          <w:kern w:val="0"/>
          <w:sz w:val="32"/>
          <w:szCs w:val="32"/>
          <w:lang w:val="en-US" w:eastAsia="zh-CN" w:bidi="ar-SA"/>
        </w:rPr>
        <w:t>（切块资金）安排部分项目支出，相应压缩</w:t>
      </w:r>
      <w:r>
        <w:rPr>
          <w:rFonts w:hint="eastAsia" w:ascii="仿宋_GB2312" w:hAnsi="仿宋_GB2312" w:cs="仿宋_GB2312"/>
          <w:color w:val="auto"/>
          <w:kern w:val="0"/>
          <w:sz w:val="32"/>
          <w:szCs w:val="32"/>
          <w:lang w:val="en-US" w:eastAsia="zh-CN" w:bidi="ar-SA"/>
        </w:rPr>
        <w:t>单位预算</w:t>
      </w:r>
      <w:r>
        <w:rPr>
          <w:rFonts w:hint="eastAsia" w:ascii="仿宋_GB2312" w:hAnsi="仿宋_GB2312" w:eastAsia="仿宋_GB2312" w:cs="仿宋_GB2312"/>
          <w:color w:val="auto"/>
          <w:kern w:val="0"/>
          <w:sz w:val="32"/>
          <w:szCs w:val="32"/>
          <w:lang w:val="en-US" w:eastAsia="zh-CN" w:bidi="ar-SA"/>
        </w:rPr>
        <w:t>收入。</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住房公积金28.45万元，占支出总预算4.49％，同比增加5.07万元，增长17.82%。</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（二）按支出结构分类划分，分为基本支出预算和项目支出预算。</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1、基本支出预算</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2024年基本支出预算452.32万元。占支出总预算71.41%，同比增加69.74万元，增长18.23%。</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2、项目支出预算</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项目支出预算181.09万元，占支出总预算28.59％，同比减少35.35万元，较上年下降24.26％。主要原因是按照2024年预算编制要求，从市本级非</w:t>
      </w:r>
      <w:r>
        <w:rPr>
          <w:rFonts w:hint="eastAsia" w:ascii="仿宋_GB2312" w:hAnsi="仿宋_GB2312" w:cs="仿宋_GB2312"/>
          <w:color w:val="auto"/>
          <w:kern w:val="0"/>
          <w:sz w:val="32"/>
          <w:szCs w:val="32"/>
          <w:lang w:val="en-US" w:eastAsia="zh-CN" w:bidi="ar-SA"/>
        </w:rPr>
        <w:t>单位预算</w:t>
      </w:r>
      <w:r>
        <w:rPr>
          <w:rFonts w:hint="eastAsia" w:ascii="仿宋_GB2312" w:hAnsi="仿宋_GB2312" w:eastAsia="仿宋_GB2312" w:cs="仿宋_GB2312"/>
          <w:color w:val="auto"/>
          <w:kern w:val="0"/>
          <w:sz w:val="32"/>
          <w:szCs w:val="32"/>
          <w:lang w:val="en-US" w:eastAsia="zh-CN" w:bidi="ar-SA"/>
        </w:rPr>
        <w:t>（切块资金）安排部分项目支出。</w:t>
      </w:r>
    </w:p>
    <w:p>
      <w:pPr>
        <w:keepNext w:val="0"/>
        <w:keepLines w:val="0"/>
        <w:pageBreakBefore w:val="0"/>
        <w:tabs>
          <w:tab w:val="center" w:pos="4475"/>
        </w:tabs>
        <w:kinsoku/>
        <w:wordWrap/>
        <w:overflowPunct/>
        <w:topLinePunct w:val="0"/>
        <w:bidi w:val="0"/>
        <w:spacing w:line="240" w:lineRule="auto"/>
        <w:ind w:firstLine="645"/>
        <w:textAlignment w:val="auto"/>
        <w:rPr>
          <w:rFonts w:ascii="黑体" w:eastAsia="黑体"/>
          <w:color w:val="auto"/>
          <w:szCs w:val="32"/>
        </w:rPr>
      </w:pPr>
      <w:r>
        <w:rPr>
          <w:rFonts w:hint="eastAsia" w:ascii="黑体" w:eastAsia="黑体"/>
          <w:color w:val="auto"/>
          <w:szCs w:val="32"/>
        </w:rPr>
        <w:t>四、财政拨款收支总体情况说明</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财政拨款总收入</w:t>
      </w:r>
      <w:r>
        <w:rPr>
          <w:rFonts w:hint="eastAsia" w:ascii="仿宋_GB2312" w:hAnsi="仿宋_GB2312" w:eastAsia="仿宋_GB2312" w:cs="仿宋_GB2312"/>
          <w:color w:val="auto"/>
          <w:sz w:val="32"/>
          <w:szCs w:val="32"/>
          <w:lang w:val="en-US" w:eastAsia="zh-CN"/>
        </w:rPr>
        <w:t>633.40</w:t>
      </w:r>
      <w:r>
        <w:rPr>
          <w:rFonts w:hint="eastAsia" w:ascii="仿宋_GB2312" w:hAnsi="仿宋_GB2312" w:eastAsia="仿宋_GB2312" w:cs="仿宋_GB2312"/>
          <w:color w:val="auto"/>
          <w:sz w:val="32"/>
          <w:szCs w:val="32"/>
        </w:rPr>
        <w:t>万元，总支出</w:t>
      </w:r>
      <w:r>
        <w:rPr>
          <w:rFonts w:hint="eastAsia" w:ascii="仿宋_GB2312" w:hAnsi="仿宋_GB2312" w:eastAsia="仿宋_GB2312" w:cs="仿宋_GB2312"/>
          <w:color w:val="auto"/>
          <w:sz w:val="32"/>
          <w:szCs w:val="32"/>
          <w:lang w:val="en-US" w:eastAsia="zh-CN"/>
        </w:rPr>
        <w:t>633.40</w:t>
      </w:r>
      <w:r>
        <w:rPr>
          <w:rFonts w:hint="eastAsia" w:ascii="仿宋_GB2312" w:hAnsi="仿宋_GB2312" w:eastAsia="仿宋_GB2312" w:cs="仿宋_GB2312"/>
          <w:color w:val="auto"/>
          <w:sz w:val="32"/>
          <w:szCs w:val="32"/>
        </w:rPr>
        <w:t>万元（不含财政拨款上年未列支结转收支数）。财政拨款总收入较上年增长</w:t>
      </w:r>
      <w:r>
        <w:rPr>
          <w:rFonts w:hint="eastAsia" w:ascii="仿宋_GB2312" w:hAnsi="仿宋_GB2312" w:eastAsia="仿宋_GB2312" w:cs="仿宋_GB2312"/>
          <w:color w:val="auto"/>
          <w:sz w:val="32"/>
          <w:szCs w:val="32"/>
          <w:lang w:val="en-US" w:eastAsia="zh-CN"/>
        </w:rPr>
        <w:t>19.89</w:t>
      </w:r>
      <w:r>
        <w:rPr>
          <w:rFonts w:hint="eastAsia" w:ascii="仿宋_GB2312" w:hAnsi="仿宋_GB2312" w:eastAsia="仿宋_GB2312" w:cs="仿宋_GB2312"/>
          <w:color w:val="auto"/>
          <w:sz w:val="32"/>
          <w:szCs w:val="32"/>
        </w:rPr>
        <w:t>%。财政拨款总支出较上年增</w:t>
      </w:r>
      <w:r>
        <w:rPr>
          <w:rFonts w:hint="eastAsia" w:ascii="仿宋_GB2312" w:hAnsi="仿宋_GB2312" w:eastAsia="仿宋_GB2312" w:cs="仿宋_GB2312"/>
          <w:color w:val="auto"/>
          <w:sz w:val="32"/>
          <w:szCs w:val="32"/>
          <w:lang w:val="en-US" w:eastAsia="zh-CN"/>
        </w:rPr>
        <w:t>长19.89</w:t>
      </w:r>
      <w:r>
        <w:rPr>
          <w:rFonts w:hint="eastAsia" w:ascii="仿宋_GB2312" w:hAnsi="仿宋_GB2312" w:eastAsia="仿宋_GB2312" w:cs="仿宋_GB2312"/>
          <w:color w:val="auto"/>
          <w:sz w:val="32"/>
          <w:szCs w:val="32"/>
        </w:rPr>
        <w:t>%。</w:t>
      </w:r>
    </w:p>
    <w:p>
      <w:pPr>
        <w:keepNext w:val="0"/>
        <w:keepLines w:val="0"/>
        <w:pageBreakBefore w:val="0"/>
        <w:tabs>
          <w:tab w:val="center" w:pos="4475"/>
        </w:tabs>
        <w:kinsoku/>
        <w:wordWrap/>
        <w:overflowPunct/>
        <w:topLinePunct w:val="0"/>
        <w:bidi w:val="0"/>
        <w:spacing w:line="240" w:lineRule="auto"/>
        <w:ind w:firstLine="645"/>
        <w:textAlignment w:val="auto"/>
        <w:rPr>
          <w:rFonts w:ascii="黑体" w:eastAsia="黑体"/>
          <w:color w:val="auto"/>
          <w:szCs w:val="32"/>
        </w:rPr>
      </w:pPr>
      <w:r>
        <w:rPr>
          <w:rFonts w:hint="eastAsia" w:ascii="黑体" w:eastAsia="黑体"/>
          <w:color w:val="auto"/>
          <w:szCs w:val="32"/>
        </w:rPr>
        <w:t>五、一般公共预算支出情况说明</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宋体" w:hAnsi="宋体" w:eastAsia="宋体" w:cs="宋体"/>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一般公共预算支出共</w:t>
      </w:r>
      <w:r>
        <w:rPr>
          <w:rFonts w:hint="eastAsia" w:ascii="仿宋_GB2312" w:hAnsi="仿宋_GB2312" w:eastAsia="仿宋_GB2312" w:cs="仿宋_GB2312"/>
          <w:color w:val="auto"/>
          <w:sz w:val="32"/>
          <w:szCs w:val="32"/>
          <w:lang w:val="en-US" w:eastAsia="zh-CN"/>
        </w:rPr>
        <w:t>458.70</w:t>
      </w:r>
      <w:r>
        <w:rPr>
          <w:rFonts w:hint="eastAsia" w:ascii="仿宋_GB2312" w:hAnsi="仿宋_GB2312" w:eastAsia="仿宋_GB2312" w:cs="仿宋_GB2312"/>
          <w:color w:val="auto"/>
          <w:sz w:val="32"/>
          <w:szCs w:val="32"/>
        </w:rPr>
        <w:t>万元，较上年减少</w:t>
      </w:r>
      <w:r>
        <w:rPr>
          <w:rFonts w:hint="eastAsia" w:ascii="仿宋_GB2312" w:hAnsi="仿宋_GB2312" w:eastAsia="仿宋_GB2312" w:cs="仿宋_GB2312"/>
          <w:color w:val="auto"/>
          <w:sz w:val="32"/>
          <w:szCs w:val="32"/>
          <w:lang w:val="en-US" w:eastAsia="zh-CN"/>
        </w:rPr>
        <w:t>13.18</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主要原因是</w:t>
      </w:r>
      <w:r>
        <w:rPr>
          <w:rFonts w:hint="eastAsia" w:ascii="仿宋_GB2312" w:hAnsi="仿宋_GB2312" w:eastAsia="仿宋_GB2312" w:cs="仿宋_GB2312"/>
          <w:b w:val="0"/>
          <w:bCs w:val="0"/>
          <w:i w:val="0"/>
          <w:iCs w:val="0"/>
          <w:caps w:val="0"/>
          <w:color w:val="auto"/>
          <w:spacing w:val="0"/>
          <w:sz w:val="32"/>
          <w:szCs w:val="32"/>
          <w:shd w:val="clear" w:color="auto" w:fill="FFFFFF"/>
        </w:rPr>
        <w:t>按照2024年预算编制要求，从市本级非</w:t>
      </w:r>
      <w:r>
        <w:rPr>
          <w:rFonts w:hint="eastAsia" w:ascii="仿宋_GB2312" w:hAnsi="仿宋_GB2312" w:cs="仿宋_GB2312"/>
          <w:b w:val="0"/>
          <w:bCs w:val="0"/>
          <w:i w:val="0"/>
          <w:iCs w:val="0"/>
          <w:caps w:val="0"/>
          <w:color w:val="auto"/>
          <w:spacing w:val="0"/>
          <w:sz w:val="32"/>
          <w:szCs w:val="32"/>
          <w:shd w:val="clear" w:color="auto" w:fill="FFFFFF"/>
          <w:lang w:eastAsia="zh-CN"/>
        </w:rPr>
        <w:t>单位预算</w:t>
      </w:r>
      <w:r>
        <w:rPr>
          <w:rFonts w:hint="eastAsia" w:ascii="仿宋_GB2312" w:hAnsi="仿宋_GB2312" w:eastAsia="仿宋_GB2312" w:cs="仿宋_GB2312"/>
          <w:b w:val="0"/>
          <w:bCs w:val="0"/>
          <w:i w:val="0"/>
          <w:iCs w:val="0"/>
          <w:caps w:val="0"/>
          <w:color w:val="auto"/>
          <w:spacing w:val="0"/>
          <w:sz w:val="32"/>
          <w:szCs w:val="32"/>
          <w:shd w:val="clear" w:color="auto" w:fill="FFFFFF"/>
        </w:rPr>
        <w:t>（切块资金）安排部分项目支出，相应压缩</w:t>
      </w:r>
      <w:r>
        <w:rPr>
          <w:rFonts w:hint="eastAsia" w:ascii="仿宋_GB2312" w:hAnsi="仿宋_GB2312" w:cs="仿宋_GB2312"/>
          <w:b w:val="0"/>
          <w:bCs w:val="0"/>
          <w:i w:val="0"/>
          <w:iCs w:val="0"/>
          <w:caps w:val="0"/>
          <w:color w:val="auto"/>
          <w:spacing w:val="0"/>
          <w:sz w:val="32"/>
          <w:szCs w:val="32"/>
          <w:shd w:val="clear" w:color="auto" w:fill="FFFFFF"/>
          <w:lang w:eastAsia="zh-CN"/>
        </w:rPr>
        <w:t>单位预算</w:t>
      </w:r>
      <w:r>
        <w:rPr>
          <w:rFonts w:hint="eastAsia" w:ascii="仿宋_GB2312" w:hAnsi="仿宋_GB2312" w:eastAsia="仿宋_GB2312" w:cs="仿宋_GB2312"/>
          <w:b w:val="0"/>
          <w:bCs w:val="0"/>
          <w:i w:val="0"/>
          <w:iCs w:val="0"/>
          <w:caps w:val="0"/>
          <w:color w:val="auto"/>
          <w:spacing w:val="0"/>
          <w:sz w:val="32"/>
          <w:szCs w:val="32"/>
          <w:shd w:val="clear" w:color="auto" w:fill="FFFFFF"/>
        </w:rPr>
        <w:t>收入</w:t>
      </w:r>
      <w:r>
        <w:rPr>
          <w:rFonts w:hint="eastAsia" w:ascii="仿宋_GB2312" w:hAnsi="仿宋_GB2312" w:eastAsia="仿宋_GB2312" w:cs="仿宋_GB2312"/>
          <w:color w:val="auto"/>
          <w:sz w:val="32"/>
          <w:szCs w:val="32"/>
        </w:rPr>
        <w:t>。具体情况为：</w:t>
      </w:r>
    </w:p>
    <w:p>
      <w:pPr>
        <w:pStyle w:val="4"/>
        <w:keepNext w:val="0"/>
        <w:keepLines w:val="0"/>
        <w:pageBreakBefore w:val="0"/>
        <w:kinsoku/>
        <w:wordWrap/>
        <w:overflowPunct/>
        <w:topLinePunct w:val="0"/>
        <w:bidi w:val="0"/>
        <w:adjustRightInd w:val="0"/>
        <w:snapToGrid w:val="0"/>
        <w:spacing w:line="24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（一）按支出功能分类科目划分，共分为7类，其中：</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事业单位离退休18.29万元，占支出总预算2.89％，同比增加5.2万元，增长39.72%。</w:t>
      </w:r>
      <w:r>
        <w:rPr>
          <w:rFonts w:hint="eastAsia" w:ascii="仿宋_GB2312" w:hAnsi="仿宋_GB2312" w:eastAsia="仿宋_GB2312" w:cs="仿宋_GB2312"/>
          <w:color w:val="auto"/>
          <w:sz w:val="32"/>
          <w:szCs w:val="32"/>
        </w:rPr>
        <w:t>主要原因是退休人员补贴标准增加；</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机关事业单位基本养老保险缴费支出37.94万元，占支出总预算5.99％，同比增加6.77万元，增长21.72%</w:t>
      </w:r>
      <w:r>
        <w:rPr>
          <w:rFonts w:hint="eastAsia" w:ascii="仿宋_GB2312" w:hAnsi="仿宋_GB2312" w:cs="仿宋_GB2312"/>
          <w:color w:val="auto"/>
          <w:sz w:val="32"/>
          <w:szCs w:val="32"/>
          <w:lang w:val="en-US" w:eastAsia="zh-CN"/>
        </w:rPr>
        <w:t>，主要原因是在职人员增加</w:t>
      </w:r>
      <w:r>
        <w:rPr>
          <w:rFonts w:hint="eastAsia" w:ascii="仿宋_GB2312" w:hAnsi="仿宋_GB2312" w:eastAsia="仿宋_GB2312" w:cs="仿宋_GB2312"/>
          <w:color w:val="auto"/>
          <w:sz w:val="32"/>
          <w:szCs w:val="32"/>
          <w:lang w:val="en-US" w:eastAsia="zh-CN"/>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机关事业单位职业年金缴费支出18.97万元，占支出总预算2.99％，同比增加3.39万元，增长21.76%</w:t>
      </w:r>
      <w:r>
        <w:rPr>
          <w:rFonts w:hint="eastAsia" w:ascii="仿宋_GB2312" w:hAnsi="仿宋_GB2312" w:cs="仿宋_GB2312"/>
          <w:color w:val="auto"/>
          <w:sz w:val="32"/>
          <w:szCs w:val="32"/>
          <w:lang w:val="en-US" w:eastAsia="zh-CN"/>
        </w:rPr>
        <w:t>，主要原因是在职人员增加</w:t>
      </w:r>
      <w:r>
        <w:rPr>
          <w:rFonts w:hint="eastAsia" w:ascii="仿宋_GB2312" w:hAnsi="仿宋_GB2312" w:eastAsia="仿宋_GB2312" w:cs="仿宋_GB2312"/>
          <w:color w:val="auto"/>
          <w:sz w:val="32"/>
          <w:szCs w:val="32"/>
          <w:lang w:val="en-US" w:eastAsia="zh-CN"/>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事业单位医疗21.81万元，占支出总预算3.44％，同比增加3.89万元，增长21.71%</w:t>
      </w:r>
      <w:r>
        <w:rPr>
          <w:rFonts w:hint="eastAsia" w:ascii="仿宋_GB2312" w:hAnsi="仿宋_GB2312" w:cs="仿宋_GB2312"/>
          <w:color w:val="auto"/>
          <w:sz w:val="32"/>
          <w:szCs w:val="32"/>
          <w:lang w:val="en-US" w:eastAsia="zh-CN"/>
        </w:rPr>
        <w:t>，主要原因是在职人员增加</w:t>
      </w:r>
      <w:r>
        <w:rPr>
          <w:rFonts w:hint="eastAsia" w:ascii="仿宋_GB2312" w:hAnsi="仿宋_GB2312" w:eastAsia="仿宋_GB2312" w:cs="仿宋_GB2312"/>
          <w:color w:val="auto"/>
          <w:sz w:val="32"/>
          <w:szCs w:val="32"/>
          <w:lang w:val="en-US" w:eastAsia="zh-CN"/>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公务员医疗补助16.61万元，占支出总预算2.62％，同比增加2.38万元，增长16.73%</w:t>
      </w:r>
      <w:r>
        <w:rPr>
          <w:rFonts w:hint="eastAsia" w:ascii="仿宋_GB2312" w:hAnsi="仿宋_GB2312" w:cs="仿宋_GB2312"/>
          <w:color w:val="auto"/>
          <w:sz w:val="32"/>
          <w:szCs w:val="32"/>
          <w:lang w:val="en-US" w:eastAsia="zh-CN"/>
        </w:rPr>
        <w:t>，主要原因是在职人员增加</w:t>
      </w:r>
      <w:r>
        <w:rPr>
          <w:rFonts w:hint="eastAsia" w:ascii="仿宋_GB2312" w:hAnsi="仿宋_GB2312" w:eastAsia="仿宋_GB2312" w:cs="仿宋_GB2312"/>
          <w:color w:val="auto"/>
          <w:sz w:val="32"/>
          <w:szCs w:val="32"/>
          <w:lang w:val="en-US" w:eastAsia="zh-CN"/>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其他公路水路运输支出316.63万元，占支出总预算49.99％，同比减少93万元，下降22.70%。</w:t>
      </w:r>
      <w:r>
        <w:rPr>
          <w:rFonts w:hint="eastAsia" w:ascii="仿宋_GB2312" w:hAnsi="仿宋_GB2312" w:eastAsia="仿宋_GB2312" w:cs="仿宋_GB2312"/>
          <w:color w:val="auto"/>
          <w:sz w:val="32"/>
          <w:szCs w:val="32"/>
          <w:lang w:eastAsia="zh-CN"/>
        </w:rPr>
        <w:t>主要原因是</w:t>
      </w:r>
      <w:r>
        <w:rPr>
          <w:rFonts w:hint="eastAsia" w:ascii="仿宋_GB2312" w:hAnsi="仿宋_GB2312" w:eastAsia="仿宋_GB2312" w:cs="仿宋_GB2312"/>
          <w:b w:val="0"/>
          <w:bCs w:val="0"/>
          <w:i w:val="0"/>
          <w:iCs w:val="0"/>
          <w:caps w:val="0"/>
          <w:color w:val="auto"/>
          <w:spacing w:val="0"/>
          <w:sz w:val="32"/>
          <w:szCs w:val="32"/>
          <w:shd w:val="clear" w:color="auto" w:fill="FFFFFF"/>
        </w:rPr>
        <w:t>按照2024年预算编制要求，从市本级非</w:t>
      </w:r>
      <w:r>
        <w:rPr>
          <w:rFonts w:hint="eastAsia" w:ascii="仿宋_GB2312" w:hAnsi="仿宋_GB2312" w:cs="仿宋_GB2312"/>
          <w:b w:val="0"/>
          <w:bCs w:val="0"/>
          <w:i w:val="0"/>
          <w:iCs w:val="0"/>
          <w:caps w:val="0"/>
          <w:color w:val="auto"/>
          <w:spacing w:val="0"/>
          <w:sz w:val="32"/>
          <w:szCs w:val="32"/>
          <w:shd w:val="clear" w:color="auto" w:fill="FFFFFF"/>
          <w:lang w:eastAsia="zh-CN"/>
        </w:rPr>
        <w:t>单位预算</w:t>
      </w:r>
      <w:r>
        <w:rPr>
          <w:rFonts w:hint="eastAsia" w:ascii="仿宋_GB2312" w:hAnsi="仿宋_GB2312" w:eastAsia="仿宋_GB2312" w:cs="仿宋_GB2312"/>
          <w:b w:val="0"/>
          <w:bCs w:val="0"/>
          <w:i w:val="0"/>
          <w:iCs w:val="0"/>
          <w:caps w:val="0"/>
          <w:color w:val="auto"/>
          <w:spacing w:val="0"/>
          <w:sz w:val="32"/>
          <w:szCs w:val="32"/>
          <w:shd w:val="clear" w:color="auto" w:fill="FFFFFF"/>
        </w:rPr>
        <w:t>（切块资金）安排部分项目支出，相应压缩</w:t>
      </w:r>
      <w:r>
        <w:rPr>
          <w:rFonts w:hint="eastAsia" w:ascii="仿宋_GB2312" w:hAnsi="仿宋_GB2312" w:cs="仿宋_GB2312"/>
          <w:b w:val="0"/>
          <w:bCs w:val="0"/>
          <w:i w:val="0"/>
          <w:iCs w:val="0"/>
          <w:caps w:val="0"/>
          <w:color w:val="auto"/>
          <w:spacing w:val="0"/>
          <w:sz w:val="32"/>
          <w:szCs w:val="32"/>
          <w:shd w:val="clear" w:color="auto" w:fill="FFFFFF"/>
          <w:lang w:eastAsia="zh-CN"/>
        </w:rPr>
        <w:t>单位预算</w:t>
      </w:r>
      <w:r>
        <w:rPr>
          <w:rFonts w:hint="eastAsia" w:ascii="仿宋_GB2312" w:hAnsi="仿宋_GB2312" w:eastAsia="仿宋_GB2312" w:cs="仿宋_GB2312"/>
          <w:color w:val="auto"/>
          <w:sz w:val="32"/>
          <w:szCs w:val="32"/>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住房公积金28.45万元，占支出总预算4.49％，同比增加5.07万元，增长17.82%</w:t>
      </w:r>
      <w:r>
        <w:rPr>
          <w:rFonts w:hint="eastAsia" w:ascii="仿宋_GB2312" w:hAnsi="仿宋_GB2312" w:cs="仿宋_GB2312"/>
          <w:color w:val="auto"/>
          <w:sz w:val="32"/>
          <w:szCs w:val="32"/>
          <w:lang w:val="en-US" w:eastAsia="zh-CN"/>
        </w:rPr>
        <w:t>，主要原因是在职人员增加</w:t>
      </w:r>
      <w:r>
        <w:rPr>
          <w:rFonts w:hint="eastAsia" w:ascii="仿宋_GB2312" w:hAnsi="仿宋_GB2312" w:eastAsia="仿宋_GB2312" w:cs="仿宋_GB2312"/>
          <w:color w:val="auto"/>
          <w:sz w:val="32"/>
          <w:szCs w:val="32"/>
          <w:lang w:val="en-US" w:eastAsia="zh-CN"/>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黑体" w:eastAsia="黑体"/>
          <w:color w:val="auto"/>
          <w:szCs w:val="32"/>
          <w:lang w:val="en-US" w:eastAsia="zh-CN"/>
        </w:rPr>
      </w:pP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按支出结构分类划分，分为基本支出预算和项目支出预算。</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Cs w:val="32"/>
          <w:lang w:val="en-US" w:eastAsia="zh-CN"/>
        </w:rPr>
      </w:pPr>
      <w:r>
        <w:rPr>
          <w:rFonts w:hint="eastAsia" w:ascii="黑体" w:eastAsia="黑体"/>
          <w:color w:val="auto"/>
          <w:szCs w:val="32"/>
          <w:lang w:val="en-US" w:eastAsia="zh-CN"/>
        </w:rPr>
        <w:t xml:space="preserve">  </w:t>
      </w:r>
      <w:r>
        <w:rPr>
          <w:rFonts w:hint="eastAsia" w:ascii="仿宋_GB2312" w:hAnsi="仿宋_GB2312" w:eastAsia="仿宋_GB2312" w:cs="仿宋_GB2312"/>
          <w:color w:val="auto"/>
          <w:szCs w:val="32"/>
          <w:lang w:val="en-US" w:eastAsia="zh-CN"/>
        </w:rPr>
        <w:t>1、基本支出预算</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2024年基本支出预算452.32万元。占支出总预算71.41%，同比增加69.74万元，增长18.23%。其中：</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人员经费预算423.80万元，占基本支出预算93.69％，同比增加64.73万元，增长18.23％。其中：工资福利支出预算403.36万元，占基本支出预算89.17％，同比增加59.26万元，增长17.22％。对个人和家庭的补助支出预算20.44万元，占基本支出预算4.52％，同比增加5.46万元，增长36.45％。</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（2）公用经费（商品和服务支出）预算28.51万元，占基本支出预算6.31％，同比增加5万元，增长21.27％。</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2、项目支出预算</w:t>
      </w:r>
    </w:p>
    <w:p>
      <w:pPr>
        <w:tabs>
          <w:tab w:val="center" w:pos="4475"/>
        </w:tabs>
        <w:spacing w:line="560" w:lineRule="exact"/>
        <w:ind w:firstLine="64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项</w:t>
      </w:r>
      <w:r>
        <w:rPr>
          <w:rFonts w:hint="eastAsia" w:ascii="仿宋_GB2312" w:hAnsi="仿宋_GB2312" w:eastAsia="仿宋_GB2312" w:cs="仿宋_GB2312"/>
          <w:color w:val="auto"/>
          <w:sz w:val="32"/>
          <w:szCs w:val="32"/>
          <w:lang w:val="en-US" w:eastAsia="zh-CN"/>
        </w:rPr>
        <w:t>目支出预算6.38万元，占支出总预算0.10％，同比减少139.36万元，下降95.62％。</w:t>
      </w:r>
      <w:r>
        <w:rPr>
          <w:rFonts w:hint="eastAsia" w:ascii="仿宋_GB2312" w:hAnsi="仿宋_GB2312" w:eastAsia="仿宋_GB2312" w:cs="仿宋_GB2312"/>
          <w:color w:val="auto"/>
          <w:sz w:val="32"/>
          <w:szCs w:val="32"/>
          <w:lang w:eastAsia="zh-CN"/>
        </w:rPr>
        <w:t>主要原因是按照预算编制要求，自治区下达成品油税费改革转移支付资金纳入市本级预算统筹安排，同时由市本级政府性基金收入安排2024年</w:t>
      </w:r>
      <w:r>
        <w:rPr>
          <w:rFonts w:hint="eastAsia" w:ascii="仿宋_GB2312" w:hAnsi="仿宋_GB2312" w:cs="仿宋_GB2312"/>
          <w:color w:val="auto"/>
          <w:sz w:val="32"/>
          <w:szCs w:val="32"/>
          <w:lang w:eastAsia="zh-CN"/>
        </w:rPr>
        <w:t>单位预算</w:t>
      </w:r>
      <w:r>
        <w:rPr>
          <w:rFonts w:hint="eastAsia" w:ascii="仿宋_GB2312" w:hAnsi="仿宋_GB2312" w:eastAsia="仿宋_GB2312" w:cs="仿宋_GB2312"/>
          <w:color w:val="auto"/>
          <w:sz w:val="32"/>
          <w:szCs w:val="32"/>
          <w:lang w:eastAsia="zh-CN"/>
        </w:rPr>
        <w:t>收入。</w:t>
      </w:r>
    </w:p>
    <w:p>
      <w:pPr>
        <w:keepNext w:val="0"/>
        <w:keepLines w:val="0"/>
        <w:pageBreakBefore w:val="0"/>
        <w:tabs>
          <w:tab w:val="center" w:pos="4475"/>
        </w:tabs>
        <w:kinsoku/>
        <w:wordWrap/>
        <w:overflowPunct/>
        <w:topLinePunct w:val="0"/>
        <w:bidi w:val="0"/>
        <w:spacing w:line="240" w:lineRule="auto"/>
        <w:ind w:firstLine="645"/>
        <w:textAlignment w:val="auto"/>
        <w:rPr>
          <w:rFonts w:ascii="黑体" w:eastAsia="黑体"/>
          <w:color w:val="auto"/>
          <w:szCs w:val="32"/>
        </w:rPr>
      </w:pPr>
      <w:r>
        <w:rPr>
          <w:rFonts w:hint="eastAsia" w:ascii="黑体" w:eastAsia="黑体"/>
          <w:color w:val="auto"/>
          <w:szCs w:val="32"/>
        </w:rPr>
        <w:t>六、一般公共预算基本支出情况说明</w:t>
      </w:r>
    </w:p>
    <w:p>
      <w:pPr>
        <w:tabs>
          <w:tab w:val="center" w:pos="4475"/>
        </w:tabs>
        <w:spacing w:line="560"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2024年一般公共预算基本支出452.32万元，较上年增长18.23%，</w:t>
      </w:r>
      <w:r>
        <w:rPr>
          <w:rFonts w:hint="eastAsia" w:ascii="仿宋_GB2312" w:cs="Times New Roman"/>
          <w:color w:val="auto"/>
          <w:szCs w:val="32"/>
          <w:lang w:val="en-US" w:eastAsia="zh-CN"/>
        </w:rPr>
        <w:t>主要原因是</w:t>
      </w:r>
      <w:r>
        <w:rPr>
          <w:rFonts w:ascii="仿宋_GB2312" w:hAnsi="宋体" w:eastAsia="仿宋_GB2312" w:cs="仿宋_GB2312"/>
          <w:b w:val="0"/>
          <w:bCs w:val="0"/>
          <w:i w:val="0"/>
          <w:iCs w:val="0"/>
          <w:caps w:val="0"/>
          <w:color w:val="auto"/>
          <w:spacing w:val="0"/>
          <w:sz w:val="31"/>
          <w:szCs w:val="31"/>
          <w:shd w:val="clear" w:fill="FFFFFF"/>
        </w:rPr>
        <w:t>在职人员增加，</w:t>
      </w:r>
      <w:r>
        <w:rPr>
          <w:rFonts w:hint="eastAsia" w:ascii="仿宋_GB2312" w:hAnsi="仿宋_GB2312" w:eastAsia="仿宋_GB2312" w:cs="仿宋_GB2312"/>
          <w:color w:val="auto"/>
          <w:sz w:val="32"/>
          <w:szCs w:val="32"/>
          <w:lang w:val="en-US" w:eastAsia="zh-CN"/>
        </w:rPr>
        <w:t>及退休人员补贴标准提高。其中：</w:t>
      </w: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人员经费423.80万元，主要包括：</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工资福利支出403.36万元,其中基本工资99.05万元、津贴补贴4.61万元、绩效工资138.06万元、机关事业单位基本养老保险缴费37.94万元、职业年金缴费18.97万元、职工基本医疗保险缴费21.34万元、公务员医疗补助缴费11.86万元、其他社会保障缴费1.66万元、住房公积金28.45万元、其他工资福利支出41.43万元。</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 xml:space="preserve">对个人和家庭的补助支出20.44万元，其中退休费15.69万元、医疗费补助4.76万元。 </w:t>
      </w:r>
    </w:p>
    <w:p>
      <w:pPr>
        <w:tabs>
          <w:tab w:val="center" w:pos="4475"/>
        </w:tabs>
        <w:spacing w:line="560"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公用经费28.51万元，主要包括：商品和服务支出28.51万元，其中办公费1.78万元、印刷费0.36万元、邮电费0.72万元、差旅费7.39万元、维修（护）费0.47万元、会议费0.28万元、培训费0.37万元、公务接待费0.26万元、工会经费3.18万元、福利费0.48万元、其他商品和服务支出13.22万元。</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七、一般公共预算“三公”经费支出情况说明</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2024年一般公共预算</w:t>
      </w:r>
      <w:r>
        <w:rPr>
          <w:rFonts w:hint="eastAsia" w:ascii="仿宋_GB2312" w:hAnsi="仿宋_GB2312" w:eastAsia="仿宋_GB2312" w:cs="仿宋_GB2312"/>
          <w:bCs/>
          <w:color w:val="auto"/>
          <w:sz w:val="32"/>
          <w:szCs w:val="32"/>
        </w:rPr>
        <w:t>安排的“三公”经费支出预算</w:t>
      </w:r>
      <w:r>
        <w:rPr>
          <w:rFonts w:hint="eastAsia" w:ascii="仿宋_GB2312" w:hAnsi="仿宋_GB2312" w:eastAsia="仿宋_GB2312" w:cs="仿宋_GB2312"/>
          <w:bCs/>
          <w:color w:val="auto"/>
          <w:sz w:val="32"/>
          <w:szCs w:val="32"/>
          <w:lang w:val="en-US" w:eastAsia="zh-CN"/>
        </w:rPr>
        <w:t>0.26</w:t>
      </w:r>
      <w:r>
        <w:rPr>
          <w:rFonts w:hint="eastAsia" w:ascii="仿宋_GB2312" w:hAnsi="仿宋_GB2312" w:eastAsia="仿宋_GB2312" w:cs="仿宋_GB2312"/>
          <w:bCs/>
          <w:color w:val="auto"/>
          <w:sz w:val="32"/>
          <w:szCs w:val="32"/>
        </w:rPr>
        <w:t>万元，同口径比2023年减少</w:t>
      </w:r>
      <w:r>
        <w:rPr>
          <w:rFonts w:hint="eastAsia" w:ascii="仿宋_GB2312" w:hAnsi="仿宋_GB2312" w:eastAsia="仿宋_GB2312" w:cs="仿宋_GB2312"/>
          <w:bCs/>
          <w:color w:val="auto"/>
          <w:sz w:val="32"/>
          <w:szCs w:val="32"/>
          <w:lang w:val="en-US" w:eastAsia="zh-CN"/>
        </w:rPr>
        <w:t>0.01</w:t>
      </w:r>
      <w:r>
        <w:rPr>
          <w:rFonts w:hint="eastAsia" w:ascii="仿宋_GB2312" w:hAnsi="仿宋_GB2312" w:eastAsia="仿宋_GB2312" w:cs="仿宋_GB2312"/>
          <w:bCs/>
          <w:color w:val="auto"/>
          <w:sz w:val="32"/>
          <w:szCs w:val="32"/>
        </w:rPr>
        <w:t>万元，下降</w:t>
      </w:r>
      <w:r>
        <w:rPr>
          <w:rFonts w:hint="eastAsia" w:ascii="仿宋_GB2312" w:hAnsi="仿宋_GB2312" w:eastAsia="仿宋_GB2312" w:cs="仿宋_GB2312"/>
          <w:bCs/>
          <w:color w:val="auto"/>
          <w:sz w:val="32"/>
          <w:szCs w:val="32"/>
          <w:lang w:val="en-US" w:eastAsia="zh-CN"/>
        </w:rPr>
        <w:t>3.70</w:t>
      </w:r>
      <w:r>
        <w:rPr>
          <w:rFonts w:hint="eastAsia" w:ascii="仿宋_GB2312" w:hAnsi="仿宋_GB2312" w:eastAsia="仿宋_GB2312" w:cs="仿宋_GB2312"/>
          <w:bCs/>
          <w:color w:val="auto"/>
          <w:sz w:val="32"/>
          <w:szCs w:val="32"/>
        </w:rPr>
        <w:t>%，具体如下：</w:t>
      </w:r>
    </w:p>
    <w:p>
      <w:pPr>
        <w:keepNext w:val="0"/>
        <w:keepLines w:val="0"/>
        <w:pageBreakBefore w:val="0"/>
        <w:numPr>
          <w:ilvl w:val="0"/>
          <w:numId w:val="0"/>
        </w:numPr>
        <w:tabs>
          <w:tab w:val="center" w:pos="4475"/>
        </w:tabs>
        <w:kinsoku/>
        <w:wordWrap/>
        <w:overflowPunct/>
        <w:topLinePunct w:val="0"/>
        <w:bidi w:val="0"/>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因公出国（境）费2024年预算安排</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与上年持平。</w:t>
      </w:r>
    </w:p>
    <w:p>
      <w:pPr>
        <w:keepNext w:val="0"/>
        <w:keepLines w:val="0"/>
        <w:pageBreakBefore w:val="0"/>
        <w:numPr>
          <w:ilvl w:val="0"/>
          <w:numId w:val="0"/>
        </w:numPr>
        <w:tabs>
          <w:tab w:val="center" w:pos="4475"/>
        </w:tabs>
        <w:kinsoku/>
        <w:wordWrap/>
        <w:overflowPunct/>
        <w:topLinePunct w:val="0"/>
        <w:bidi w:val="0"/>
        <w:spacing w:line="24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公务接待费2024年预算安排</w:t>
      </w:r>
      <w:r>
        <w:rPr>
          <w:rFonts w:hint="eastAsia" w:ascii="仿宋_GB2312" w:hAnsi="仿宋_GB2312" w:eastAsia="仿宋_GB2312" w:cs="仿宋_GB2312"/>
          <w:color w:val="auto"/>
          <w:sz w:val="32"/>
          <w:szCs w:val="32"/>
          <w:lang w:val="en-US" w:eastAsia="zh-CN"/>
        </w:rPr>
        <w:t>0.26</w:t>
      </w:r>
      <w:r>
        <w:rPr>
          <w:rFonts w:hint="eastAsia" w:ascii="仿宋_GB2312" w:hAnsi="仿宋_GB2312" w:eastAsia="仿宋_GB2312" w:cs="仿宋_GB2312"/>
          <w:color w:val="auto"/>
          <w:sz w:val="32"/>
          <w:szCs w:val="32"/>
        </w:rPr>
        <w:t>万元，比上年减少</w:t>
      </w:r>
      <w:r>
        <w:rPr>
          <w:rFonts w:hint="eastAsia" w:ascii="仿宋_GB2312" w:hAnsi="仿宋_GB2312" w:eastAsia="仿宋_GB2312" w:cs="仿宋_GB2312"/>
          <w:color w:val="auto"/>
          <w:sz w:val="32"/>
          <w:szCs w:val="32"/>
          <w:lang w:val="en-US" w:eastAsia="zh-CN"/>
        </w:rPr>
        <w:t>0.01</w:t>
      </w:r>
      <w:r>
        <w:rPr>
          <w:rFonts w:hint="eastAsia" w:ascii="仿宋_GB2312" w:hAnsi="仿宋_GB2312" w:eastAsia="仿宋_GB2312" w:cs="仿宋_GB2312"/>
          <w:color w:val="auto"/>
          <w:sz w:val="32"/>
          <w:szCs w:val="32"/>
        </w:rPr>
        <w:t>万元，下降</w:t>
      </w:r>
      <w:r>
        <w:rPr>
          <w:rFonts w:hint="eastAsia" w:ascii="仿宋_GB2312" w:hAnsi="仿宋_GB2312" w:eastAsia="仿宋_GB2312" w:cs="仿宋_GB2312"/>
          <w:color w:val="auto"/>
          <w:sz w:val="32"/>
          <w:szCs w:val="32"/>
          <w:lang w:val="en-US" w:eastAsia="zh-CN"/>
        </w:rPr>
        <w:t>3.70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3.公务用车购置及运行费2024年预算安排</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与上年持平。</w:t>
      </w:r>
    </w:p>
    <w:p>
      <w:pPr>
        <w:tabs>
          <w:tab w:val="center" w:pos="4475"/>
        </w:tabs>
        <w:spacing w:line="560" w:lineRule="exact"/>
        <w:ind w:firstLine="645"/>
        <w:rPr>
          <w:rFonts w:ascii="黑体" w:eastAsia="黑体"/>
          <w:color w:val="auto"/>
          <w:szCs w:val="32"/>
        </w:rPr>
      </w:pPr>
      <w:r>
        <w:rPr>
          <w:rFonts w:hint="eastAsia" w:ascii="黑体" w:eastAsia="黑体"/>
          <w:color w:val="auto"/>
          <w:szCs w:val="32"/>
        </w:rPr>
        <w:t>八、政府性基金预算支出情况说明</w:t>
      </w:r>
    </w:p>
    <w:p>
      <w:pPr>
        <w:keepNext w:val="0"/>
        <w:keepLines w:val="0"/>
        <w:pageBreakBefore w:val="0"/>
        <w:tabs>
          <w:tab w:val="center" w:pos="4475"/>
        </w:tabs>
        <w:kinsoku/>
        <w:wordWrap/>
        <w:overflowPunct/>
        <w:topLinePunct w:val="0"/>
        <w:bidi w:val="0"/>
        <w:spacing w:line="240" w:lineRule="auto"/>
        <w:ind w:firstLine="645"/>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政府性基金预算支出共</w:t>
      </w:r>
      <w:r>
        <w:rPr>
          <w:rFonts w:hint="eastAsia" w:ascii="仿宋_GB2312" w:hAnsi="仿宋_GB2312" w:eastAsia="仿宋_GB2312" w:cs="仿宋_GB2312"/>
          <w:color w:val="auto"/>
          <w:sz w:val="32"/>
          <w:szCs w:val="32"/>
          <w:lang w:val="en-US" w:eastAsia="zh-CN"/>
        </w:rPr>
        <w:t>174.71</w:t>
      </w:r>
      <w:r>
        <w:rPr>
          <w:rFonts w:hint="eastAsia" w:ascii="仿宋_GB2312" w:hAnsi="仿宋_GB2312" w:eastAsia="仿宋_GB2312" w:cs="仿宋_GB2312"/>
          <w:color w:val="auto"/>
          <w:sz w:val="32"/>
          <w:szCs w:val="32"/>
        </w:rPr>
        <w:t>万元，较上年增长</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主要原因是</w:t>
      </w:r>
      <w:r>
        <w:rPr>
          <w:rFonts w:hint="eastAsia" w:ascii="仿宋_GB2312" w:hAnsi="仿宋_GB2312" w:eastAsia="仿宋_GB2312" w:cs="仿宋_GB2312"/>
          <w:color w:val="auto"/>
          <w:sz w:val="32"/>
          <w:szCs w:val="32"/>
          <w:lang w:eastAsia="zh-CN"/>
        </w:rPr>
        <w:t>按照预算编制要求，自治区下达成品油税费改革转移支付资金纳入市本级预算统筹安排，同时由市本级政府性基金收入安排2024年</w:t>
      </w:r>
      <w:r>
        <w:rPr>
          <w:rFonts w:hint="eastAsia" w:ascii="仿宋_GB2312" w:hAnsi="仿宋_GB2312" w:cs="仿宋_GB2312"/>
          <w:color w:val="auto"/>
          <w:sz w:val="32"/>
          <w:szCs w:val="32"/>
          <w:lang w:eastAsia="zh-CN"/>
        </w:rPr>
        <w:t>单位预算</w:t>
      </w:r>
      <w:r>
        <w:rPr>
          <w:rFonts w:hint="eastAsia" w:ascii="仿宋_GB2312" w:hAnsi="仿宋_GB2312" w:eastAsia="仿宋_GB2312" w:cs="仿宋_GB2312"/>
          <w:color w:val="auto"/>
          <w:sz w:val="32"/>
          <w:szCs w:val="32"/>
          <w:lang w:eastAsia="zh-CN"/>
        </w:rPr>
        <w:t>收入。</w:t>
      </w:r>
    </w:p>
    <w:p>
      <w:pPr>
        <w:keepNext w:val="0"/>
        <w:keepLines w:val="0"/>
        <w:pageBreakBefore w:val="0"/>
        <w:widowControl w:val="0"/>
        <w:tabs>
          <w:tab w:val="center" w:pos="4475"/>
        </w:tabs>
        <w:kinsoku/>
        <w:wordWrap/>
        <w:overflowPunct/>
        <w:topLinePunct w:val="0"/>
        <w:autoSpaceDE/>
        <w:autoSpaceDN/>
        <w:bidi w:val="0"/>
        <w:spacing w:line="240" w:lineRule="auto"/>
        <w:ind w:firstLine="645"/>
        <w:textAlignment w:val="auto"/>
        <w:rPr>
          <w:rFonts w:hint="eastAsia" w:ascii="黑体" w:eastAsia="黑体"/>
          <w:color w:val="auto"/>
          <w:szCs w:val="32"/>
        </w:rPr>
      </w:pPr>
      <w:r>
        <w:rPr>
          <w:rFonts w:hint="eastAsia" w:ascii="黑体" w:eastAsia="黑体"/>
          <w:color w:val="auto"/>
          <w:szCs w:val="32"/>
        </w:rPr>
        <w:t>九、国有资本经营预算支出情况说明</w:t>
      </w:r>
    </w:p>
    <w:p>
      <w:pPr>
        <w:keepNext w:val="0"/>
        <w:keepLines w:val="0"/>
        <w:pageBreakBefore w:val="0"/>
        <w:widowControl w:val="0"/>
        <w:tabs>
          <w:tab w:val="center" w:pos="4475"/>
        </w:tabs>
        <w:kinsoku/>
        <w:wordWrap/>
        <w:overflowPunct/>
        <w:topLinePunct w:val="0"/>
        <w:autoSpaceDE/>
        <w:autoSpaceDN/>
        <w:bidi w:val="0"/>
        <w:spacing w:line="240" w:lineRule="auto"/>
        <w:ind w:firstLine="645"/>
        <w:textAlignment w:val="auto"/>
        <w:rPr>
          <w:rFonts w:hint="eastAsia" w:ascii="宋体" w:hAnsi="宋体" w:eastAsia="宋体" w:cs="宋体"/>
          <w:color w:val="auto"/>
          <w:sz w:val="30"/>
          <w:szCs w:val="30"/>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预算无国有资本经营预算。</w:t>
      </w:r>
    </w:p>
    <w:p>
      <w:pPr>
        <w:pStyle w:val="14"/>
        <w:keepNext w:val="0"/>
        <w:keepLines w:val="0"/>
        <w:pageBreakBefore w:val="0"/>
        <w:numPr>
          <w:ilvl w:val="0"/>
          <w:numId w:val="2"/>
        </w:numPr>
        <w:tabs>
          <w:tab w:val="center" w:pos="4475"/>
        </w:tabs>
        <w:kinsoku/>
        <w:wordWrap/>
        <w:overflowPunct/>
        <w:topLinePunct w:val="0"/>
        <w:bidi w:val="0"/>
        <w:spacing w:line="240" w:lineRule="auto"/>
        <w:ind w:left="0" w:leftChars="0" w:firstLine="640" w:firstLineChars="200"/>
        <w:textAlignment w:val="auto"/>
        <w:rPr>
          <w:rFonts w:hint="eastAsia" w:ascii="黑体" w:eastAsia="黑体"/>
          <w:color w:val="auto"/>
          <w:szCs w:val="32"/>
        </w:rPr>
      </w:pPr>
      <w:r>
        <w:rPr>
          <w:rFonts w:hint="eastAsia" w:ascii="黑体" w:eastAsia="黑体"/>
          <w:color w:val="auto"/>
          <w:szCs w:val="32"/>
        </w:rPr>
        <w:t>其他重要事项情况说明</w:t>
      </w:r>
    </w:p>
    <w:p>
      <w:pPr>
        <w:pStyle w:val="14"/>
        <w:keepNext w:val="0"/>
        <w:keepLines w:val="0"/>
        <w:pageBreakBefore w:val="0"/>
        <w:numPr>
          <w:ilvl w:val="0"/>
          <w:numId w:val="0"/>
        </w:numPr>
        <w:tabs>
          <w:tab w:val="center" w:pos="4475"/>
        </w:tabs>
        <w:kinsoku/>
        <w:wordWrap/>
        <w:overflowPunct/>
        <w:topLinePunct w:val="0"/>
        <w:bidi w:val="0"/>
        <w:spacing w:line="240" w:lineRule="auto"/>
        <w:ind w:leftChars="200"/>
        <w:textAlignment w:val="auto"/>
        <w:rPr>
          <w:rFonts w:hint="eastAsia" w:ascii="宋体" w:hAnsi="宋体" w:eastAsia="宋体" w:cs="宋体"/>
          <w:color w:val="auto"/>
          <w:kern w:val="2"/>
          <w:sz w:val="30"/>
          <w:szCs w:val="30"/>
          <w:u w:val="none"/>
          <w:lang w:val="en-US" w:eastAsia="zh-CN" w:bidi="ar-SA"/>
        </w:rPr>
      </w:pPr>
      <w:r>
        <w:rPr>
          <w:rFonts w:hint="eastAsia" w:ascii="宋体" w:hAnsi="宋体" w:eastAsia="宋体" w:cs="宋体"/>
          <w:color w:val="auto"/>
          <w:kern w:val="2"/>
          <w:sz w:val="30"/>
          <w:szCs w:val="30"/>
          <w:lang w:val="en-US" w:eastAsia="zh-CN" w:bidi="ar-SA"/>
        </w:rPr>
        <w:t>（一）</w:t>
      </w:r>
      <w:r>
        <w:rPr>
          <w:rFonts w:hint="eastAsia" w:ascii="仿宋_GB2312" w:hAnsi="宋体"/>
          <w:b/>
          <w:bCs/>
          <w:color w:val="auto"/>
          <w:szCs w:val="32"/>
          <w:u w:val="none"/>
        </w:rPr>
        <w:t>事业单位相关运行经费</w:t>
      </w:r>
    </w:p>
    <w:p>
      <w:pPr>
        <w:pStyle w:val="14"/>
        <w:keepNext w:val="0"/>
        <w:keepLines w:val="0"/>
        <w:pageBreakBefore w:val="0"/>
        <w:tabs>
          <w:tab w:val="center" w:pos="4475"/>
        </w:tabs>
        <w:kinsoku/>
        <w:wordWrap/>
        <w:overflowPunct/>
        <w:topLinePunct w:val="0"/>
        <w:bidi w:val="0"/>
        <w:spacing w:line="240" w:lineRule="auto"/>
        <w:ind w:firstLine="300" w:firstLineChars="100"/>
        <w:textAlignment w:val="auto"/>
        <w:rPr>
          <w:rFonts w:hint="eastAsia" w:ascii="仿宋_GB2312" w:hAnsi="仿宋_GB2312" w:eastAsia="仿宋_GB2312" w:cs="仿宋_GB2312"/>
          <w:color w:val="auto"/>
          <w:kern w:val="2"/>
          <w:sz w:val="32"/>
          <w:szCs w:val="32"/>
          <w:lang w:val="en-US" w:eastAsia="zh-CN" w:bidi="ar-SA"/>
        </w:rPr>
      </w:pPr>
      <w:r>
        <w:rPr>
          <w:rFonts w:hint="eastAsia" w:ascii="宋体" w:hAnsi="宋体" w:eastAsia="宋体" w:cs="宋体"/>
          <w:color w:val="auto"/>
          <w:kern w:val="2"/>
          <w:sz w:val="30"/>
          <w:szCs w:val="30"/>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事业单位运行经费主要指的是为保障事业单位运行用于购买货物和服务的各项资金，</w:t>
      </w:r>
      <w:r>
        <w:rPr>
          <w:rFonts w:hint="eastAsia" w:ascii="仿宋_GB2312" w:hAnsi="仿宋_GB2312" w:cs="仿宋_GB2312"/>
          <w:color w:val="auto"/>
          <w:kern w:val="2"/>
          <w:sz w:val="32"/>
          <w:szCs w:val="32"/>
          <w:lang w:val="en-US" w:eastAsia="zh-CN" w:bidi="ar-SA"/>
        </w:rPr>
        <w:t>事业单位</w:t>
      </w:r>
      <w:r>
        <w:rPr>
          <w:rFonts w:hint="eastAsia" w:ascii="仿宋_GB2312" w:hAnsi="仿宋_GB2312" w:eastAsia="仿宋_GB2312" w:cs="仿宋_GB2312"/>
          <w:color w:val="auto"/>
          <w:kern w:val="2"/>
          <w:sz w:val="32"/>
          <w:szCs w:val="32"/>
          <w:lang w:val="en-US" w:eastAsia="zh-CN" w:bidi="ar-SA"/>
        </w:rPr>
        <w:t>运行经费预算</w:t>
      </w:r>
      <w:r>
        <w:rPr>
          <w:rFonts w:hint="eastAsia" w:ascii="仿宋_GB2312" w:hAnsi="仿宋_GB2312" w:cs="仿宋_GB2312"/>
          <w:color w:val="auto"/>
          <w:kern w:val="2"/>
          <w:sz w:val="32"/>
          <w:szCs w:val="32"/>
          <w:lang w:val="en-US" w:eastAsia="zh-CN" w:bidi="ar-SA"/>
        </w:rPr>
        <w:t>30.13</w:t>
      </w:r>
      <w:r>
        <w:rPr>
          <w:rFonts w:hint="eastAsia" w:ascii="仿宋_GB2312" w:hAnsi="仿宋_GB2312" w:eastAsia="仿宋_GB2312" w:cs="仿宋_GB2312"/>
          <w:color w:val="auto"/>
          <w:kern w:val="2"/>
          <w:sz w:val="32"/>
          <w:szCs w:val="32"/>
          <w:lang w:val="en-US" w:eastAsia="zh-CN" w:bidi="ar-SA"/>
        </w:rPr>
        <w:t>万元，同比减少</w:t>
      </w:r>
      <w:r>
        <w:rPr>
          <w:rFonts w:hint="eastAsia" w:ascii="仿宋_GB2312" w:hAnsi="仿宋_GB2312" w:cs="仿宋_GB2312"/>
          <w:color w:val="auto"/>
          <w:kern w:val="2"/>
          <w:sz w:val="32"/>
          <w:szCs w:val="32"/>
          <w:lang w:val="en-US" w:eastAsia="zh-CN" w:bidi="ar-SA"/>
        </w:rPr>
        <w:t>119.37</w:t>
      </w:r>
      <w:r>
        <w:rPr>
          <w:rFonts w:hint="eastAsia" w:ascii="仿宋_GB2312" w:hAnsi="仿宋_GB2312" w:eastAsia="仿宋_GB2312" w:cs="仿宋_GB2312"/>
          <w:color w:val="auto"/>
          <w:kern w:val="2"/>
          <w:sz w:val="32"/>
          <w:szCs w:val="32"/>
          <w:lang w:val="en-US" w:eastAsia="zh-CN" w:bidi="ar-SA"/>
        </w:rPr>
        <w:t>万元，下降</w:t>
      </w:r>
      <w:r>
        <w:rPr>
          <w:rFonts w:hint="eastAsia" w:ascii="仿宋_GB2312" w:hAnsi="仿宋_GB2312" w:cs="仿宋_GB2312"/>
          <w:color w:val="auto"/>
          <w:kern w:val="2"/>
          <w:sz w:val="32"/>
          <w:szCs w:val="32"/>
          <w:lang w:val="en-US" w:eastAsia="zh-CN" w:bidi="ar-SA"/>
        </w:rPr>
        <w:t>79.85</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val="0"/>
          <w:bCs w:val="0"/>
          <w:i w:val="0"/>
          <w:iCs w:val="0"/>
          <w:caps w:val="0"/>
          <w:color w:val="auto"/>
          <w:spacing w:val="0"/>
          <w:sz w:val="32"/>
          <w:szCs w:val="32"/>
          <w:shd w:val="clear" w:color="auto" w:fill="FFFFFF"/>
        </w:rPr>
        <w:t>主要原因是：按照2024年预算编制要求，从政府性基金安排部分项目支出，相应压缩一般公共预算支出。</w:t>
      </w:r>
      <w:r>
        <w:rPr>
          <w:rFonts w:hint="eastAsia" w:ascii="仿宋_GB2312" w:hAnsi="仿宋_GB2312" w:eastAsia="仿宋_GB2312" w:cs="仿宋_GB2312"/>
          <w:color w:val="auto"/>
          <w:kern w:val="2"/>
          <w:sz w:val="32"/>
          <w:szCs w:val="32"/>
          <w:lang w:val="en-US" w:eastAsia="zh-CN" w:bidi="ar-SA"/>
        </w:rPr>
        <w:t>包括办公费1.78万元、印刷费0.36万元、</w:t>
      </w:r>
      <w:r>
        <w:rPr>
          <w:rFonts w:hint="eastAsia" w:ascii="仿宋_GB2312" w:hAnsi="仿宋_GB2312" w:cs="仿宋_GB2312"/>
          <w:color w:val="auto"/>
          <w:kern w:val="2"/>
          <w:sz w:val="32"/>
          <w:szCs w:val="32"/>
          <w:lang w:val="en-US" w:eastAsia="zh-CN" w:bidi="ar-SA"/>
        </w:rPr>
        <w:t>水费1.44万元、电费0.18万元、</w:t>
      </w:r>
      <w:r>
        <w:rPr>
          <w:rFonts w:hint="eastAsia" w:ascii="仿宋_GB2312" w:hAnsi="仿宋_GB2312" w:eastAsia="仿宋_GB2312" w:cs="仿宋_GB2312"/>
          <w:color w:val="auto"/>
          <w:kern w:val="2"/>
          <w:sz w:val="32"/>
          <w:szCs w:val="32"/>
          <w:lang w:val="en-US" w:eastAsia="zh-CN" w:bidi="ar-SA"/>
        </w:rPr>
        <w:t>邮电费0.72万元、差旅费7.39万元、维修（护）费0.47万元、会议费0.28万元、培训费0.37万元、公务接待费0.26万元、</w:t>
      </w:r>
      <w:r>
        <w:rPr>
          <w:rFonts w:hint="eastAsia" w:ascii="仿宋_GB2312" w:hAnsi="仿宋_GB2312" w:eastAsia="仿宋_GB2312" w:cs="仿宋_GB2312"/>
          <w:b w:val="0"/>
          <w:bCs w:val="0"/>
          <w:i w:val="0"/>
          <w:iCs w:val="0"/>
          <w:caps w:val="0"/>
          <w:color w:val="auto"/>
          <w:spacing w:val="0"/>
          <w:sz w:val="30"/>
          <w:szCs w:val="30"/>
          <w:shd w:val="clear" w:color="auto" w:fill="FFFFFF"/>
        </w:rPr>
        <w:t>工会经费</w:t>
      </w:r>
      <w:r>
        <w:rPr>
          <w:rFonts w:hint="eastAsia" w:ascii="仿宋_GB2312" w:hAnsi="仿宋_GB2312" w:eastAsia="仿宋_GB2312" w:cs="仿宋_GB2312"/>
          <w:b w:val="0"/>
          <w:bCs w:val="0"/>
          <w:i w:val="0"/>
          <w:iCs w:val="0"/>
          <w:caps w:val="0"/>
          <w:color w:val="auto"/>
          <w:spacing w:val="0"/>
          <w:sz w:val="30"/>
          <w:szCs w:val="30"/>
          <w:shd w:val="clear" w:color="auto" w:fill="FFFFFF"/>
          <w:lang w:val="en-US" w:eastAsia="zh-CN"/>
        </w:rPr>
        <w:t>3.18</w:t>
      </w:r>
      <w:r>
        <w:rPr>
          <w:rFonts w:hint="eastAsia" w:ascii="仿宋_GB2312" w:hAnsi="仿宋_GB2312" w:eastAsia="仿宋_GB2312" w:cs="仿宋_GB2312"/>
          <w:b w:val="0"/>
          <w:bCs w:val="0"/>
          <w:i w:val="0"/>
          <w:iCs w:val="0"/>
          <w:caps w:val="0"/>
          <w:color w:val="auto"/>
          <w:spacing w:val="0"/>
          <w:sz w:val="30"/>
          <w:szCs w:val="30"/>
          <w:shd w:val="clear" w:color="auto" w:fill="FFFFFF"/>
        </w:rPr>
        <w:t>万元</w:t>
      </w:r>
      <w:r>
        <w:rPr>
          <w:rFonts w:hint="eastAsia" w:ascii="仿宋_GB2312" w:hAnsi="仿宋_GB2312" w:eastAsia="仿宋_GB2312" w:cs="仿宋_GB2312"/>
          <w:b w:val="0"/>
          <w:bCs w:val="0"/>
          <w:i w:val="0"/>
          <w:iCs w:val="0"/>
          <w:caps w:val="0"/>
          <w:color w:val="auto"/>
          <w:spacing w:val="0"/>
          <w:sz w:val="30"/>
          <w:szCs w:val="30"/>
          <w:shd w:val="clear" w:color="auto" w:fill="FFFFFF"/>
          <w:lang w:eastAsia="zh-CN"/>
        </w:rPr>
        <w:t>、</w:t>
      </w:r>
      <w:r>
        <w:rPr>
          <w:rFonts w:hint="eastAsia" w:ascii="仿宋_GB2312" w:hAnsi="仿宋_GB2312" w:eastAsia="仿宋_GB2312" w:cs="仿宋_GB2312"/>
          <w:color w:val="auto"/>
          <w:kern w:val="2"/>
          <w:sz w:val="32"/>
          <w:szCs w:val="32"/>
          <w:lang w:val="en-US" w:eastAsia="zh-CN" w:bidi="ar-SA"/>
        </w:rPr>
        <w:t>福利费0.48万元、其他商品和服务支出13.22万元。</w:t>
      </w:r>
    </w:p>
    <w:p>
      <w:pPr>
        <w:pStyle w:val="14"/>
        <w:keepNext w:val="0"/>
        <w:keepLines w:val="0"/>
        <w:pageBreakBefore w:val="0"/>
        <w:tabs>
          <w:tab w:val="center" w:pos="4475"/>
        </w:tabs>
        <w:kinsoku/>
        <w:wordWrap/>
        <w:overflowPunct/>
        <w:topLinePunct w:val="0"/>
        <w:bidi w:val="0"/>
        <w:spacing w:line="24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（二）政府采购预算安排情况说明</w:t>
      </w:r>
    </w:p>
    <w:p>
      <w:pPr>
        <w:pStyle w:val="14"/>
        <w:keepNext w:val="0"/>
        <w:keepLines w:val="0"/>
        <w:pageBreakBefore w:val="0"/>
        <w:tabs>
          <w:tab w:val="center" w:pos="4475"/>
        </w:tabs>
        <w:kinsoku/>
        <w:wordWrap/>
        <w:overflowPunct/>
        <w:topLinePunct w:val="0"/>
        <w:bidi w:val="0"/>
        <w:spacing w:line="24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2024年政府采购预算20.10万元，同比</w:t>
      </w:r>
      <w:r>
        <w:rPr>
          <w:rFonts w:hint="eastAsia" w:ascii="仿宋_GB2312" w:hAnsi="仿宋_GB2312" w:cs="仿宋_GB2312"/>
          <w:color w:val="auto"/>
          <w:kern w:val="2"/>
          <w:sz w:val="32"/>
          <w:szCs w:val="32"/>
          <w:lang w:val="en-US" w:eastAsia="zh-CN" w:bidi="ar-SA"/>
        </w:rPr>
        <w:t>减少35.22</w:t>
      </w:r>
      <w:r>
        <w:rPr>
          <w:rFonts w:hint="eastAsia" w:ascii="仿宋_GB2312" w:hAnsi="仿宋_GB2312" w:eastAsia="仿宋_GB2312" w:cs="仿宋_GB2312"/>
          <w:color w:val="auto"/>
          <w:kern w:val="2"/>
          <w:sz w:val="32"/>
          <w:szCs w:val="32"/>
          <w:lang w:val="en-US" w:eastAsia="zh-CN" w:bidi="ar-SA"/>
        </w:rPr>
        <w:t>万元，</w:t>
      </w:r>
      <w:r>
        <w:rPr>
          <w:rFonts w:hint="eastAsia" w:ascii="仿宋_GB2312" w:hAnsi="仿宋_GB2312" w:cs="仿宋_GB2312"/>
          <w:color w:val="auto"/>
          <w:kern w:val="2"/>
          <w:sz w:val="32"/>
          <w:szCs w:val="32"/>
          <w:lang w:val="en-US" w:eastAsia="zh-CN" w:bidi="ar-SA"/>
        </w:rPr>
        <w:t>下降63.67</w:t>
      </w:r>
      <w:r>
        <w:rPr>
          <w:rFonts w:hint="eastAsia" w:ascii="仿宋_GB2312" w:hAnsi="仿宋_GB2312" w:eastAsia="仿宋_GB2312" w:cs="仿宋_GB2312"/>
          <w:color w:val="auto"/>
          <w:kern w:val="2"/>
          <w:sz w:val="32"/>
          <w:szCs w:val="32"/>
          <w:lang w:val="en-US" w:eastAsia="zh-CN" w:bidi="ar-SA"/>
        </w:rPr>
        <w:t>％。其中，集中采购预算20.10万元，占政府采购预算100％，货物采购20.10万元，占政府采购预算100％；采购限额标准以上，200万以下的货物和服务采购项目、400万以下的工程采购项目，适宜由中小企业提供的采购预算20.10万元，面向中小企业预留金额20.10万元。</w:t>
      </w:r>
    </w:p>
    <w:p>
      <w:pPr>
        <w:keepNext w:val="0"/>
        <w:keepLines w:val="0"/>
        <w:pageBreakBefore w:val="0"/>
        <w:tabs>
          <w:tab w:val="center" w:pos="4475"/>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（三）国有资产占用情况说明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2023年底固定资产总原值1481.25万元，净值614.98万元。其中：房屋及构筑物原值972.66万元，净值522.04万元；设备原值494.75，净值86.10万元；家具和用具原值13.84万元，净值6.85万元。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2023年新增设备2.95万元，家具和用具0.09万元，合并原城区公路管理所资产322.74万元。</w:t>
      </w:r>
    </w:p>
    <w:p>
      <w:pPr>
        <w:keepNext w:val="0"/>
        <w:keepLines w:val="0"/>
        <w:pageBreakBefore w:val="0"/>
        <w:tabs>
          <w:tab w:val="center" w:pos="4475"/>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（四）预算绩效目标情况说明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单位2024年所有项目支出全面实施绩效目标管理，其中：重点项目预算绩效目标1个，项目名称为：全市农村公路建养及安全考评，预算资金46.87万元，2024年度绩效目标为：按照自治区政府、市政府绩效考核以及我市农村公路综合考评、“四好农村公路”建设及我中心相关职责要求开展现场技术性服务工作，通过开展检查、指导工作，推动“四好农村公路”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设1条数量指标：数量指标1．监督检查次数≥4次；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设1条质量指标：质量指标1．监督检查覆盖率≥10％；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设1条时效指标：时效指标1．项目完成及时性≥80％；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设1条成本指标：成本指标1．项目总成本≤46.87万元；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设1条社会效益指标：社会效益指标1．对提高行政运行效率及结果的影响程度定性为较高；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设1条服务对象满意度指标：满意度指标1．服务对象满意度≥85%。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numPr>
          <w:ilvl w:val="0"/>
          <w:numId w:val="3"/>
        </w:numPr>
        <w:kinsoku/>
        <w:wordWrap/>
        <w:overflowPunct/>
        <w:topLinePunct w:val="0"/>
        <w:bidi w:val="0"/>
        <w:adjustRightInd w:val="0"/>
        <w:snapToGrid w:val="0"/>
        <w:spacing w:line="240" w:lineRule="auto"/>
        <w:ind w:firstLine="470" w:firstLineChars="147"/>
        <w:jc w:val="center"/>
        <w:textAlignment w:val="auto"/>
        <w:rPr>
          <w:rFonts w:hint="default" w:ascii="黑体" w:hAnsi="宋体" w:eastAsia="黑体" w:cs="Times New Roman"/>
          <w:color w:val="auto"/>
          <w:szCs w:val="32"/>
          <w:lang w:val="en-US" w:eastAsia="zh-CN"/>
        </w:rPr>
      </w:pPr>
      <w:r>
        <w:rPr>
          <w:rFonts w:hint="eastAsia" w:ascii="黑体" w:hAnsi="宋体" w:eastAsia="黑体" w:cs="Times New Roman"/>
          <w:color w:val="auto"/>
          <w:szCs w:val="32"/>
          <w:lang w:val="en-US" w:eastAsia="zh-CN"/>
        </w:rPr>
        <w:t>名词解释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（一）财政拨款收入：指行政单位从同级财政部门取得的财政预算资金。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（二）基本支出：指为保障机构正常运转、完成日常工作任务而发生的人员支出和公用支出。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（三）项目支出：指在基本支出之外为完成特定行政任务和事业发展目标所发生的支出。</w:t>
      </w:r>
    </w:p>
    <w:p>
      <w:pPr>
        <w:keepNext w:val="0"/>
        <w:keepLines w:val="0"/>
        <w:pageBreakBefore w:val="0"/>
        <w:kinsoku/>
        <w:wordWrap/>
        <w:overflowPunct/>
        <w:topLinePunct w:val="0"/>
        <w:bidi w:val="0"/>
        <w:adjustRightInd w:val="0"/>
        <w:snapToGrid w:val="0"/>
        <w:spacing w:line="240" w:lineRule="auto"/>
        <w:ind w:firstLine="470" w:firstLineChars="147"/>
        <w:jc w:val="center"/>
        <w:textAlignment w:val="auto"/>
        <w:rPr>
          <w:rFonts w:hint="eastAsia" w:ascii="黑体" w:eastAsia="黑体"/>
          <w:color w:val="auto"/>
          <w:szCs w:val="32"/>
        </w:rPr>
      </w:pPr>
    </w:p>
    <w:p>
      <w:pPr>
        <w:keepNext w:val="0"/>
        <w:keepLines w:val="0"/>
        <w:pageBreakBefore w:val="0"/>
        <w:kinsoku/>
        <w:wordWrap/>
        <w:overflowPunct/>
        <w:topLinePunct w:val="0"/>
        <w:bidi w:val="0"/>
        <w:adjustRightInd w:val="0"/>
        <w:snapToGrid w:val="0"/>
        <w:spacing w:line="240" w:lineRule="auto"/>
        <w:ind w:firstLine="470" w:firstLineChars="147"/>
        <w:jc w:val="center"/>
        <w:textAlignment w:val="auto"/>
        <w:rPr>
          <w:color w:val="auto"/>
          <w:szCs w:val="32"/>
        </w:rPr>
      </w:pPr>
      <w:r>
        <w:rPr>
          <w:rFonts w:hint="eastAsia" w:ascii="黑体" w:eastAsia="黑体"/>
          <w:color w:val="auto"/>
          <w:szCs w:val="32"/>
        </w:rPr>
        <w:t>第四部分：</w:t>
      </w:r>
      <w:r>
        <w:rPr>
          <w:rFonts w:hint="eastAsia" w:ascii="黑体" w:hAnsi="宋体" w:eastAsia="黑体"/>
          <w:color w:val="auto"/>
          <w:szCs w:val="32"/>
          <w:lang w:val="en-US" w:eastAsia="zh-CN"/>
        </w:rPr>
        <w:t>桂林市公路建设养护中心</w:t>
      </w:r>
      <w:r>
        <w:rPr>
          <w:rFonts w:hint="eastAsia" w:ascii="黑体" w:hAnsi="宋体" w:eastAsia="黑体"/>
          <w:color w:val="auto"/>
          <w:szCs w:val="32"/>
        </w:rPr>
        <w:t>2024年</w:t>
      </w:r>
      <w:r>
        <w:rPr>
          <w:rFonts w:hint="eastAsia" w:ascii="黑体" w:eastAsia="黑体"/>
          <w:color w:val="auto"/>
          <w:szCs w:val="32"/>
          <w:lang w:eastAsia="zh-CN"/>
        </w:rPr>
        <w:t>单位预算</w:t>
      </w:r>
      <w:r>
        <w:rPr>
          <w:rFonts w:hint="eastAsia" w:ascii="黑体" w:eastAsia="黑体"/>
          <w:color w:val="auto"/>
          <w:szCs w:val="32"/>
        </w:rPr>
        <w:t>报表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一、部门收支总体情况表（表1）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二、部门收入总体情况表（表2）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三、部门支出总体情况表（表3）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四、财政拨款收支总体情况表（表4）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五、一般公共预算支出情况表（表5）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六、一般公共预算基本支出情况表（表6）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七、一般公共预算“三公”经费支出情况表（表7）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八、政府性基金预算支出情况表（表8）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九、国有资本经营预算支出表（表9）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十、政府采购预算表（表10）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十一、单位预算支出经济分类表（表11）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十二、政府预算支出经济分类表（表12）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十三、重点项目绩效目标表（表13）</w:t>
      </w:r>
    </w:p>
    <w:p>
      <w:pPr>
        <w:keepNext w:val="0"/>
        <w:keepLines w:val="0"/>
        <w:pageBreakBefore w:val="0"/>
        <w:kinsoku/>
        <w:wordWrap/>
        <w:overflowPunct/>
        <w:topLinePunct w:val="0"/>
        <w:bidi w:val="0"/>
        <w:spacing w:line="240" w:lineRule="auto"/>
        <w:ind w:firstLine="470" w:firstLineChars="147"/>
        <w:textAlignment w:val="auto"/>
        <w:rPr>
          <w:rFonts w:eastAsia="黑体"/>
          <w:color w:val="auto"/>
          <w:szCs w:val="32"/>
        </w:rPr>
      </w:pPr>
      <w:r>
        <w:rPr>
          <w:rFonts w:hAnsi="黑体" w:eastAsia="黑体"/>
          <w:color w:val="auto"/>
          <w:szCs w:val="32"/>
        </w:rPr>
        <w:t>上述报表详见附件。</w:t>
      </w:r>
    </w:p>
    <w:p>
      <w:pPr>
        <w:keepNext w:val="0"/>
        <w:keepLines w:val="0"/>
        <w:pageBreakBefore w:val="0"/>
        <w:kinsoku/>
        <w:wordWrap/>
        <w:overflowPunct/>
        <w:topLinePunct w:val="0"/>
        <w:autoSpaceDE w:val="0"/>
        <w:autoSpaceDN w:val="0"/>
        <w:bidi w:val="0"/>
        <w:adjustRightInd w:val="0"/>
        <w:spacing w:line="240" w:lineRule="auto"/>
        <w:ind w:left="-224" w:leftChars="-70" w:firstLine="626" w:firstLineChars="195"/>
        <w:textAlignment w:val="auto"/>
        <w:rPr>
          <w:rFonts w:hint="eastAsia" w:ascii="仿宋_GB2312"/>
          <w:color w:val="auto"/>
          <w:szCs w:val="32"/>
          <w:lang w:val="en-US" w:eastAsia="zh-CN"/>
        </w:rPr>
      </w:pPr>
      <w:r>
        <w:rPr>
          <w:rFonts w:hint="eastAsia"/>
          <w:b/>
          <w:color w:val="auto"/>
          <w:szCs w:val="32"/>
        </w:rPr>
        <w:t>附件.</w:t>
      </w:r>
      <w:r>
        <w:rPr>
          <w:rFonts w:hint="eastAsia" w:ascii="黑体" w:hAnsi="宋体" w:eastAsia="黑体"/>
          <w:color w:val="auto"/>
          <w:szCs w:val="32"/>
        </w:rPr>
        <w:t xml:space="preserve"> </w:t>
      </w:r>
      <w:r>
        <w:rPr>
          <w:rFonts w:hint="eastAsia"/>
          <w:b/>
          <w:color w:val="auto"/>
          <w:szCs w:val="32"/>
          <w:lang w:val="en-US" w:eastAsia="zh-CN"/>
        </w:rPr>
        <w:t>桂林市公路建设养护中心</w:t>
      </w:r>
      <w:r>
        <w:rPr>
          <w:rFonts w:hint="eastAsia"/>
          <w:b/>
          <w:color w:val="auto"/>
          <w:szCs w:val="32"/>
        </w:rPr>
        <w:t>预算报表（财政审核）（桂林市本级预算公开表）</w:t>
      </w:r>
      <w:r>
        <w:rPr>
          <w:b/>
          <w:color w:val="auto"/>
          <w:szCs w:val="32"/>
        </w:rPr>
        <w:t>.xls</w:t>
      </w:r>
    </w:p>
    <w:sectPr>
      <w:footerReference r:id="rId3" w:type="default"/>
      <w:pgSz w:w="11906" w:h="16838"/>
      <w:pgMar w:top="2098" w:right="1417" w:bottom="1984" w:left="1587" w:header="851" w:footer="992" w:gutter="0"/>
      <w:pgNumType w:fmt="decimal" w:start="1"/>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8459B"/>
    <w:multiLevelType w:val="singleLevel"/>
    <w:tmpl w:val="BE98459B"/>
    <w:lvl w:ilvl="0" w:tentative="0">
      <w:start w:val="3"/>
      <w:numFmt w:val="chineseCounting"/>
      <w:suff w:val="space"/>
      <w:lvlText w:val="第%1部分"/>
      <w:lvlJc w:val="left"/>
      <w:rPr>
        <w:rFonts w:hint="eastAsia"/>
      </w:rPr>
    </w:lvl>
  </w:abstractNum>
  <w:abstractNum w:abstractNumId="1">
    <w:nsid w:val="5DAA7FB8"/>
    <w:multiLevelType w:val="multilevel"/>
    <w:tmpl w:val="5DAA7FB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7F4A6F88"/>
    <w:multiLevelType w:val="singleLevel"/>
    <w:tmpl w:val="7F4A6F88"/>
    <w:lvl w:ilvl="0" w:tentative="0">
      <w:start w:val="10"/>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1ZDY3YTdjYTY4MzYxOTIxOTY1OTNkNjk4NGE0ODgifQ=="/>
  </w:docVars>
  <w:rsids>
    <w:rsidRoot w:val="000E2B2E"/>
    <w:rsid w:val="000C60AF"/>
    <w:rsid w:val="000E2B2E"/>
    <w:rsid w:val="00102F95"/>
    <w:rsid w:val="001051F1"/>
    <w:rsid w:val="001B7549"/>
    <w:rsid w:val="002053CA"/>
    <w:rsid w:val="003B2BBE"/>
    <w:rsid w:val="003E0B0B"/>
    <w:rsid w:val="004837C3"/>
    <w:rsid w:val="004C201E"/>
    <w:rsid w:val="0053713A"/>
    <w:rsid w:val="005B78FB"/>
    <w:rsid w:val="00656D84"/>
    <w:rsid w:val="006B3BA0"/>
    <w:rsid w:val="006E4593"/>
    <w:rsid w:val="007035D5"/>
    <w:rsid w:val="007657B9"/>
    <w:rsid w:val="0077566F"/>
    <w:rsid w:val="00784A36"/>
    <w:rsid w:val="007A271E"/>
    <w:rsid w:val="007C4397"/>
    <w:rsid w:val="00884219"/>
    <w:rsid w:val="0095006D"/>
    <w:rsid w:val="0097391F"/>
    <w:rsid w:val="009D29CA"/>
    <w:rsid w:val="009E1B9E"/>
    <w:rsid w:val="00A15268"/>
    <w:rsid w:val="00A90B56"/>
    <w:rsid w:val="00B638D3"/>
    <w:rsid w:val="00C20C21"/>
    <w:rsid w:val="00C42C76"/>
    <w:rsid w:val="00CD21AA"/>
    <w:rsid w:val="00E05C87"/>
    <w:rsid w:val="00E72012"/>
    <w:rsid w:val="00EF53DF"/>
    <w:rsid w:val="00FB73E3"/>
    <w:rsid w:val="03165668"/>
    <w:rsid w:val="047C20F3"/>
    <w:rsid w:val="04E84B8A"/>
    <w:rsid w:val="05573D16"/>
    <w:rsid w:val="059E36F3"/>
    <w:rsid w:val="06FC36E6"/>
    <w:rsid w:val="081B102B"/>
    <w:rsid w:val="08275C22"/>
    <w:rsid w:val="0A602585"/>
    <w:rsid w:val="0B3348DE"/>
    <w:rsid w:val="0C3D5DF3"/>
    <w:rsid w:val="0C443FA1"/>
    <w:rsid w:val="0C684F3C"/>
    <w:rsid w:val="0CAB2DC4"/>
    <w:rsid w:val="0CAC4948"/>
    <w:rsid w:val="0CAD7C0D"/>
    <w:rsid w:val="0CD56232"/>
    <w:rsid w:val="0F344D93"/>
    <w:rsid w:val="104D01F0"/>
    <w:rsid w:val="107942A8"/>
    <w:rsid w:val="10E8616A"/>
    <w:rsid w:val="112C6057"/>
    <w:rsid w:val="1144758E"/>
    <w:rsid w:val="12043BE2"/>
    <w:rsid w:val="120D5E88"/>
    <w:rsid w:val="12380A2C"/>
    <w:rsid w:val="124A10BB"/>
    <w:rsid w:val="12874609"/>
    <w:rsid w:val="134E6417"/>
    <w:rsid w:val="13781BF4"/>
    <w:rsid w:val="13DF3855"/>
    <w:rsid w:val="13EC63BC"/>
    <w:rsid w:val="14760144"/>
    <w:rsid w:val="15724254"/>
    <w:rsid w:val="16595524"/>
    <w:rsid w:val="17852965"/>
    <w:rsid w:val="17B35422"/>
    <w:rsid w:val="17F26894"/>
    <w:rsid w:val="184D6F90"/>
    <w:rsid w:val="18C63235"/>
    <w:rsid w:val="19395734"/>
    <w:rsid w:val="19CF2D83"/>
    <w:rsid w:val="1AF5570C"/>
    <w:rsid w:val="1E6C6D59"/>
    <w:rsid w:val="1E6E054E"/>
    <w:rsid w:val="1FA4694F"/>
    <w:rsid w:val="204A02A8"/>
    <w:rsid w:val="208512E0"/>
    <w:rsid w:val="20876F10"/>
    <w:rsid w:val="20A0436C"/>
    <w:rsid w:val="215C314A"/>
    <w:rsid w:val="21A50C1E"/>
    <w:rsid w:val="23241E73"/>
    <w:rsid w:val="23706207"/>
    <w:rsid w:val="23F204AA"/>
    <w:rsid w:val="243A6885"/>
    <w:rsid w:val="24C329FA"/>
    <w:rsid w:val="255C5CCF"/>
    <w:rsid w:val="257D2ECD"/>
    <w:rsid w:val="25827978"/>
    <w:rsid w:val="25EC2689"/>
    <w:rsid w:val="261E020C"/>
    <w:rsid w:val="2655085C"/>
    <w:rsid w:val="265C69B1"/>
    <w:rsid w:val="265E4AAD"/>
    <w:rsid w:val="26951EE6"/>
    <w:rsid w:val="279871A5"/>
    <w:rsid w:val="283F02B6"/>
    <w:rsid w:val="28A92EA0"/>
    <w:rsid w:val="28E05C4D"/>
    <w:rsid w:val="29FA6504"/>
    <w:rsid w:val="2A224043"/>
    <w:rsid w:val="2B2A1401"/>
    <w:rsid w:val="2B464ADA"/>
    <w:rsid w:val="2C097269"/>
    <w:rsid w:val="2C441551"/>
    <w:rsid w:val="2C567FD4"/>
    <w:rsid w:val="2C785A0E"/>
    <w:rsid w:val="2C9416FF"/>
    <w:rsid w:val="2CDA0C05"/>
    <w:rsid w:val="2E2C5491"/>
    <w:rsid w:val="2E3808E3"/>
    <w:rsid w:val="2EB065F9"/>
    <w:rsid w:val="308E0B0C"/>
    <w:rsid w:val="31924058"/>
    <w:rsid w:val="33D812CC"/>
    <w:rsid w:val="34040079"/>
    <w:rsid w:val="34440062"/>
    <w:rsid w:val="34825E0A"/>
    <w:rsid w:val="35052FCD"/>
    <w:rsid w:val="35B7315C"/>
    <w:rsid w:val="36486409"/>
    <w:rsid w:val="36B808A5"/>
    <w:rsid w:val="37321293"/>
    <w:rsid w:val="37426BA0"/>
    <w:rsid w:val="376A713C"/>
    <w:rsid w:val="37B06E98"/>
    <w:rsid w:val="37E94B6B"/>
    <w:rsid w:val="3A2D7425"/>
    <w:rsid w:val="3A7966FA"/>
    <w:rsid w:val="3B241FBC"/>
    <w:rsid w:val="3B5C72D4"/>
    <w:rsid w:val="3B912340"/>
    <w:rsid w:val="3B9F54F4"/>
    <w:rsid w:val="3C11114C"/>
    <w:rsid w:val="3C94278E"/>
    <w:rsid w:val="3CF60458"/>
    <w:rsid w:val="3CF63839"/>
    <w:rsid w:val="3D030744"/>
    <w:rsid w:val="3E090133"/>
    <w:rsid w:val="3E151A9D"/>
    <w:rsid w:val="3E257E13"/>
    <w:rsid w:val="3F400D9C"/>
    <w:rsid w:val="3F93711E"/>
    <w:rsid w:val="3FCB03E2"/>
    <w:rsid w:val="401152F5"/>
    <w:rsid w:val="40703903"/>
    <w:rsid w:val="422A188F"/>
    <w:rsid w:val="431F0E8B"/>
    <w:rsid w:val="436A3581"/>
    <w:rsid w:val="4397244E"/>
    <w:rsid w:val="43B458B4"/>
    <w:rsid w:val="43F14D5A"/>
    <w:rsid w:val="441445A5"/>
    <w:rsid w:val="44AB4F09"/>
    <w:rsid w:val="44E166FD"/>
    <w:rsid w:val="455D6DB1"/>
    <w:rsid w:val="4654337F"/>
    <w:rsid w:val="46D61B5A"/>
    <w:rsid w:val="493059DD"/>
    <w:rsid w:val="493D129C"/>
    <w:rsid w:val="4A631DE2"/>
    <w:rsid w:val="4A791606"/>
    <w:rsid w:val="4B427C4A"/>
    <w:rsid w:val="4BF47196"/>
    <w:rsid w:val="4C325F10"/>
    <w:rsid w:val="4C334CC4"/>
    <w:rsid w:val="4C6C31D0"/>
    <w:rsid w:val="4D303AF1"/>
    <w:rsid w:val="501A61F2"/>
    <w:rsid w:val="50D9252B"/>
    <w:rsid w:val="516200AC"/>
    <w:rsid w:val="518A6B82"/>
    <w:rsid w:val="51B11685"/>
    <w:rsid w:val="51BD627C"/>
    <w:rsid w:val="52684BF3"/>
    <w:rsid w:val="529F09D4"/>
    <w:rsid w:val="548A1623"/>
    <w:rsid w:val="54B47249"/>
    <w:rsid w:val="55711857"/>
    <w:rsid w:val="55DD513F"/>
    <w:rsid w:val="55FB670D"/>
    <w:rsid w:val="560A5808"/>
    <w:rsid w:val="576B2F78"/>
    <w:rsid w:val="57827D4C"/>
    <w:rsid w:val="57AD0ACE"/>
    <w:rsid w:val="584C2108"/>
    <w:rsid w:val="58C60230"/>
    <w:rsid w:val="59582CCD"/>
    <w:rsid w:val="59D81EA5"/>
    <w:rsid w:val="5A655703"/>
    <w:rsid w:val="5B150ED7"/>
    <w:rsid w:val="5B667984"/>
    <w:rsid w:val="5CEA0985"/>
    <w:rsid w:val="5D7A3273"/>
    <w:rsid w:val="5DD23127"/>
    <w:rsid w:val="5DE91AB7"/>
    <w:rsid w:val="5E381A8A"/>
    <w:rsid w:val="5E9F75A5"/>
    <w:rsid w:val="5ED83E16"/>
    <w:rsid w:val="5EEF4C03"/>
    <w:rsid w:val="5FED0CD4"/>
    <w:rsid w:val="60002155"/>
    <w:rsid w:val="60107EBF"/>
    <w:rsid w:val="60255718"/>
    <w:rsid w:val="618E735E"/>
    <w:rsid w:val="625E1C3F"/>
    <w:rsid w:val="62A82ABC"/>
    <w:rsid w:val="63A54F9A"/>
    <w:rsid w:val="64166EF2"/>
    <w:rsid w:val="64583189"/>
    <w:rsid w:val="65827169"/>
    <w:rsid w:val="66036184"/>
    <w:rsid w:val="66EF082E"/>
    <w:rsid w:val="66FB34BD"/>
    <w:rsid w:val="66FD53B0"/>
    <w:rsid w:val="679C2DC3"/>
    <w:rsid w:val="67B11F87"/>
    <w:rsid w:val="67F307F2"/>
    <w:rsid w:val="688540D8"/>
    <w:rsid w:val="69224D72"/>
    <w:rsid w:val="69D62568"/>
    <w:rsid w:val="6A050368"/>
    <w:rsid w:val="6A5C35EA"/>
    <w:rsid w:val="6C3808C7"/>
    <w:rsid w:val="6C560CAF"/>
    <w:rsid w:val="6C563E53"/>
    <w:rsid w:val="6C5D16A0"/>
    <w:rsid w:val="6C5D448C"/>
    <w:rsid w:val="6C64203D"/>
    <w:rsid w:val="6C814811"/>
    <w:rsid w:val="6CE4695B"/>
    <w:rsid w:val="6ECE1671"/>
    <w:rsid w:val="6EE420A1"/>
    <w:rsid w:val="6EED5DCD"/>
    <w:rsid w:val="6FB86D47"/>
    <w:rsid w:val="702A1FFA"/>
    <w:rsid w:val="717958C4"/>
    <w:rsid w:val="71EC129E"/>
    <w:rsid w:val="726310A6"/>
    <w:rsid w:val="73916786"/>
    <w:rsid w:val="75D03F20"/>
    <w:rsid w:val="76A273D6"/>
    <w:rsid w:val="7718641E"/>
    <w:rsid w:val="777D1E86"/>
    <w:rsid w:val="785B6A25"/>
    <w:rsid w:val="78903633"/>
    <w:rsid w:val="78A2439D"/>
    <w:rsid w:val="79336EAB"/>
    <w:rsid w:val="79F3642F"/>
    <w:rsid w:val="7A8E65D6"/>
    <w:rsid w:val="7A996FD7"/>
    <w:rsid w:val="7B402ADB"/>
    <w:rsid w:val="7BA62741"/>
    <w:rsid w:val="7BA95B02"/>
    <w:rsid w:val="7BC462D5"/>
    <w:rsid w:val="7BDF725C"/>
    <w:rsid w:val="7D39684F"/>
    <w:rsid w:val="7D4776B6"/>
    <w:rsid w:val="7DC12ACC"/>
    <w:rsid w:val="7DDD64D1"/>
    <w:rsid w:val="7E5C27F5"/>
    <w:rsid w:val="7E8107C5"/>
    <w:rsid w:val="7EF4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6"/>
    <w:autoRedefine/>
    <w:semiHidden/>
    <w:unhideWhenUsed/>
    <w:qFormat/>
    <w:uiPriority w:val="99"/>
    <w:pPr>
      <w:spacing w:after="120"/>
    </w:pPr>
  </w:style>
  <w:style w:type="paragraph" w:styleId="4">
    <w:name w:val="Plain Text"/>
    <w:basedOn w:val="1"/>
    <w:link w:val="13"/>
    <w:autoRedefine/>
    <w:unhideWhenUsed/>
    <w:qFormat/>
    <w:uiPriority w:val="99"/>
    <w:pPr>
      <w:jc w:val="left"/>
    </w:pPr>
    <w:rPr>
      <w:rFonts w:ascii="宋体" w:hAnsi="Courier New" w:eastAsia="微软雅黑" w:cs="Courier New"/>
      <w:kern w:val="0"/>
      <w:sz w:val="21"/>
      <w:szCs w:val="21"/>
    </w:rPr>
  </w:style>
  <w:style w:type="paragraph" w:styleId="5">
    <w:name w:val="footer"/>
    <w:basedOn w:val="1"/>
    <w:link w:val="12"/>
    <w:autoRedefine/>
    <w:unhideWhenUsed/>
    <w:qFormat/>
    <w:uiPriority w:val="0"/>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page number"/>
    <w:basedOn w:val="9"/>
    <w:autoRedefine/>
    <w:qFormat/>
    <w:uiPriority w:val="0"/>
    <w:rPr>
      <w:rFonts w:ascii="Times New Roman" w:hAnsi="Times New Roman" w:eastAsia="宋体" w:cs="Times New Roman"/>
    </w:rPr>
  </w:style>
  <w:style w:type="character" w:customStyle="1" w:styleId="11">
    <w:name w:val="页眉 字符"/>
    <w:basedOn w:val="9"/>
    <w:link w:val="6"/>
    <w:autoRedefine/>
    <w:semiHidden/>
    <w:qFormat/>
    <w:uiPriority w:val="99"/>
    <w:rPr>
      <w:sz w:val="18"/>
      <w:szCs w:val="18"/>
    </w:rPr>
  </w:style>
  <w:style w:type="character" w:customStyle="1" w:styleId="12">
    <w:name w:val="页脚 字符"/>
    <w:basedOn w:val="9"/>
    <w:link w:val="5"/>
    <w:autoRedefine/>
    <w:semiHidden/>
    <w:qFormat/>
    <w:uiPriority w:val="99"/>
    <w:rPr>
      <w:sz w:val="18"/>
      <w:szCs w:val="18"/>
    </w:rPr>
  </w:style>
  <w:style w:type="character" w:customStyle="1" w:styleId="13">
    <w:name w:val="纯文本 字符"/>
    <w:basedOn w:val="9"/>
    <w:link w:val="4"/>
    <w:autoRedefine/>
    <w:qFormat/>
    <w:uiPriority w:val="99"/>
    <w:rPr>
      <w:rFonts w:ascii="宋体" w:hAnsi="Courier New" w:eastAsia="微软雅黑" w:cs="Courier New"/>
      <w:kern w:val="0"/>
      <w:szCs w:val="21"/>
    </w:rPr>
  </w:style>
  <w:style w:type="paragraph" w:styleId="14">
    <w:name w:val="List Paragraph"/>
    <w:basedOn w:val="1"/>
    <w:autoRedefine/>
    <w:qFormat/>
    <w:uiPriority w:val="34"/>
    <w:pPr>
      <w:ind w:firstLine="420" w:firstLineChars="200"/>
    </w:pPr>
  </w:style>
  <w:style w:type="paragraph" w:customStyle="1" w:styleId="15">
    <w:name w:val="正文首行缩进1"/>
    <w:basedOn w:val="3"/>
    <w:autoRedefine/>
    <w:qFormat/>
    <w:uiPriority w:val="0"/>
    <w:pPr>
      <w:spacing w:before="100" w:beforeAutospacing="1"/>
      <w:ind w:firstLine="420" w:firstLineChars="100"/>
    </w:pPr>
    <w:rPr>
      <w:rFonts w:ascii="Calibri" w:hAnsi="Calibri" w:eastAsia="宋体" w:cs="Calibri"/>
      <w:sz w:val="21"/>
      <w:szCs w:val="21"/>
    </w:rPr>
  </w:style>
  <w:style w:type="character" w:customStyle="1" w:styleId="16">
    <w:name w:val="正文文本 字符"/>
    <w:basedOn w:val="9"/>
    <w:link w:val="3"/>
    <w:autoRedefine/>
    <w:semiHidden/>
    <w:qFormat/>
    <w:uiPriority w:val="99"/>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4784</Words>
  <Characters>5650</Characters>
  <Lines>36</Lines>
  <Paragraphs>10</Paragraphs>
  <TotalTime>7</TotalTime>
  <ScaleCrop>false</ScaleCrop>
  <LinksUpToDate>false</LinksUpToDate>
  <CharactersWithSpaces>5682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soothing</cp:lastModifiedBy>
  <cp:lastPrinted>2024-03-22T01:36:00Z</cp:lastPrinted>
  <dcterms:modified xsi:type="dcterms:W3CDTF">2024-03-25T02:59:44Z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133BCBE971794C16AE9AFC2D5F33F8A1_12</vt:lpwstr>
  </property>
</Properties>
</file>