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ind w:right="-333" w:rightChars="-104"/>
        <w:jc w:val="center"/>
        <w:rPr>
          <w:rFonts w:hint="eastAsia" w:ascii="黑体" w:hAnsi="黑体" w:eastAsia="黑体" w:cs="黑体"/>
          <w:sz w:val="44"/>
          <w:szCs w:val="44"/>
          <w:lang w:eastAsia="zh-CN"/>
        </w:rPr>
      </w:pPr>
      <w:r>
        <w:rPr>
          <w:rFonts w:hint="eastAsia" w:ascii="黑体" w:hAnsi="黑体" w:eastAsia="黑体" w:cs="黑体"/>
          <w:sz w:val="44"/>
          <w:szCs w:val="44"/>
          <w:lang w:eastAsia="zh-CN"/>
        </w:rPr>
        <w:t>桂林市灵川县人民检察院</w:t>
      </w:r>
    </w:p>
    <w:p>
      <w:pPr>
        <w:adjustRightInd w:val="0"/>
        <w:snapToGrid w:val="0"/>
        <w:spacing w:line="560" w:lineRule="exact"/>
        <w:ind w:right="-333" w:rightChars="-104"/>
        <w:jc w:val="center"/>
        <w:rPr>
          <w:rFonts w:hint="eastAsia" w:ascii="黑体" w:hAnsi="黑体" w:eastAsia="黑体" w:cs="黑体"/>
          <w:bCs/>
          <w:sz w:val="44"/>
          <w:szCs w:val="44"/>
        </w:rPr>
      </w:pPr>
      <w:r>
        <w:rPr>
          <w:rFonts w:hint="eastAsia" w:ascii="黑体" w:hAnsi="黑体" w:eastAsia="黑体" w:cs="黑体"/>
          <w:sz w:val="44"/>
          <w:szCs w:val="44"/>
        </w:rPr>
        <w:t>2024年部门预算公开说明</w:t>
      </w:r>
    </w:p>
    <w:p>
      <w:pPr>
        <w:adjustRightInd w:val="0"/>
        <w:snapToGrid w:val="0"/>
        <w:spacing w:line="560" w:lineRule="exact"/>
        <w:ind w:right="-333" w:rightChars="-104"/>
        <w:jc w:val="center"/>
        <w:rPr>
          <w:rFonts w:ascii="黑体" w:hAnsi="宋体" w:eastAsia="黑体"/>
          <w:bCs/>
          <w:szCs w:val="32"/>
        </w:rPr>
      </w:pPr>
    </w:p>
    <w:p>
      <w:pPr>
        <w:adjustRightInd w:val="0"/>
        <w:snapToGrid w:val="0"/>
        <w:spacing w:line="560" w:lineRule="exact"/>
        <w:ind w:right="-333" w:rightChars="-104"/>
        <w:jc w:val="center"/>
        <w:rPr>
          <w:rFonts w:ascii="黑体" w:hAnsi="宋体" w:eastAsia="黑体"/>
          <w:bCs/>
          <w:szCs w:val="32"/>
        </w:rPr>
      </w:pPr>
      <w:r>
        <w:rPr>
          <w:rFonts w:hint="eastAsia" w:ascii="黑体" w:hAnsi="宋体" w:eastAsia="黑体"/>
          <w:bCs/>
          <w:szCs w:val="32"/>
        </w:rPr>
        <w:t>目  录</w:t>
      </w:r>
    </w:p>
    <w:p>
      <w:pPr>
        <w:adjustRightInd w:val="0"/>
        <w:snapToGrid w:val="0"/>
        <w:spacing w:line="560" w:lineRule="exact"/>
        <w:ind w:right="-333" w:rightChars="-104" w:firstLine="640" w:firstLineChars="200"/>
        <w:rPr>
          <w:rFonts w:ascii="黑体" w:hAnsi="宋体" w:eastAsia="黑体"/>
          <w:bCs/>
          <w:szCs w:val="32"/>
        </w:rPr>
      </w:pPr>
    </w:p>
    <w:p>
      <w:pPr>
        <w:adjustRightInd w:val="0"/>
        <w:snapToGrid w:val="0"/>
        <w:spacing w:line="560" w:lineRule="exact"/>
        <w:ind w:right="-333" w:rightChars="-104" w:firstLine="640" w:firstLineChars="200"/>
        <w:rPr>
          <w:rFonts w:ascii="黑体" w:hAnsi="宋体" w:eastAsia="黑体"/>
          <w:bCs/>
          <w:szCs w:val="32"/>
        </w:rPr>
      </w:pPr>
      <w:r>
        <w:rPr>
          <w:rFonts w:hint="eastAsia" w:ascii="黑体" w:hAnsi="宋体" w:eastAsia="黑体"/>
          <w:bCs/>
          <w:szCs w:val="32"/>
        </w:rPr>
        <w:t>第一部分：部门概况</w:t>
      </w:r>
    </w:p>
    <w:p>
      <w:pPr>
        <w:adjustRightInd w:val="0"/>
        <w:snapToGrid w:val="0"/>
        <w:spacing w:line="560" w:lineRule="exact"/>
        <w:ind w:right="-333" w:rightChars="-104" w:firstLine="640" w:firstLineChars="200"/>
        <w:rPr>
          <w:rFonts w:ascii="黑体" w:hAnsi="宋体" w:eastAsia="黑体"/>
          <w:bCs/>
          <w:szCs w:val="32"/>
        </w:rPr>
      </w:pPr>
    </w:p>
    <w:p>
      <w:pPr>
        <w:adjustRightInd w:val="0"/>
        <w:snapToGrid w:val="0"/>
        <w:spacing w:line="560" w:lineRule="exact"/>
        <w:ind w:right="-333" w:rightChars="-104" w:firstLine="640" w:firstLineChars="200"/>
        <w:rPr>
          <w:rFonts w:ascii="黑体" w:hAnsi="宋体" w:eastAsia="黑体"/>
          <w:bCs/>
          <w:szCs w:val="32"/>
        </w:rPr>
      </w:pPr>
      <w:r>
        <w:rPr>
          <w:rFonts w:hint="eastAsia" w:ascii="黑体" w:eastAsia="黑体"/>
          <w:szCs w:val="32"/>
        </w:rPr>
        <w:t>第二部分：</w:t>
      </w:r>
      <w:r>
        <w:rPr>
          <w:rFonts w:hint="eastAsia" w:ascii="黑体" w:hAnsi="宋体" w:eastAsia="黑体"/>
          <w:szCs w:val="32"/>
        </w:rPr>
        <w:t>2024年</w:t>
      </w:r>
      <w:r>
        <w:rPr>
          <w:rFonts w:hint="eastAsia" w:ascii="黑体" w:eastAsia="黑体"/>
          <w:szCs w:val="32"/>
        </w:rPr>
        <w:t>部门预算情况说明</w:t>
      </w:r>
    </w:p>
    <w:p>
      <w:pPr>
        <w:adjustRightInd w:val="0"/>
        <w:snapToGrid w:val="0"/>
        <w:spacing w:line="560" w:lineRule="exact"/>
        <w:ind w:right="-333" w:rightChars="-104" w:firstLine="640" w:firstLineChars="200"/>
        <w:rPr>
          <w:rFonts w:ascii="黑体" w:hAnsi="宋体" w:eastAsia="黑体"/>
          <w:bCs/>
          <w:szCs w:val="32"/>
        </w:rPr>
      </w:pPr>
    </w:p>
    <w:p>
      <w:pPr>
        <w:adjustRightInd w:val="0"/>
        <w:snapToGrid w:val="0"/>
        <w:spacing w:line="560" w:lineRule="exact"/>
        <w:ind w:right="-333" w:rightChars="-104" w:firstLine="640" w:firstLineChars="200"/>
        <w:rPr>
          <w:rFonts w:ascii="黑体" w:hAnsi="宋体" w:eastAsia="黑体"/>
          <w:bCs/>
          <w:szCs w:val="32"/>
        </w:rPr>
      </w:pPr>
      <w:r>
        <w:rPr>
          <w:rFonts w:hint="eastAsia" w:ascii="黑体" w:eastAsia="黑体"/>
          <w:szCs w:val="32"/>
        </w:rPr>
        <w:t>第三部分：名词解释</w:t>
      </w:r>
    </w:p>
    <w:p>
      <w:pPr>
        <w:adjustRightInd w:val="0"/>
        <w:snapToGrid w:val="0"/>
        <w:spacing w:line="560" w:lineRule="exact"/>
        <w:ind w:right="-333" w:rightChars="-104" w:firstLine="640" w:firstLineChars="200"/>
        <w:rPr>
          <w:rFonts w:ascii="黑体" w:hAnsi="宋体" w:eastAsia="黑体"/>
          <w:bCs/>
          <w:szCs w:val="32"/>
        </w:rPr>
      </w:pPr>
    </w:p>
    <w:p>
      <w:pPr>
        <w:adjustRightInd w:val="0"/>
        <w:snapToGrid w:val="0"/>
        <w:spacing w:line="560" w:lineRule="exact"/>
        <w:ind w:right="-333" w:rightChars="-104" w:firstLine="640" w:firstLineChars="200"/>
        <w:rPr>
          <w:rFonts w:ascii="黑体" w:hAnsi="宋体" w:eastAsia="黑体"/>
          <w:bCs/>
          <w:szCs w:val="32"/>
        </w:rPr>
      </w:pPr>
      <w:r>
        <w:rPr>
          <w:rFonts w:hint="eastAsia" w:ascii="黑体" w:hAnsi="宋体" w:eastAsia="黑体"/>
          <w:bCs/>
          <w:szCs w:val="32"/>
        </w:rPr>
        <w:t>第四部分：</w:t>
      </w:r>
      <w:r>
        <w:rPr>
          <w:rFonts w:hint="eastAsia" w:ascii="黑体" w:hAnsi="宋体" w:eastAsia="黑体"/>
          <w:szCs w:val="32"/>
        </w:rPr>
        <w:t>2024年</w:t>
      </w:r>
      <w:r>
        <w:rPr>
          <w:rFonts w:hint="eastAsia" w:ascii="黑体" w:eastAsia="黑体"/>
          <w:szCs w:val="32"/>
        </w:rPr>
        <w:t>部门预算报表</w:t>
      </w:r>
    </w:p>
    <w:p>
      <w:pPr>
        <w:adjustRightInd w:val="0"/>
        <w:snapToGrid w:val="0"/>
        <w:spacing w:line="560" w:lineRule="exact"/>
        <w:ind w:right="-333" w:rightChars="-104" w:firstLine="640" w:firstLineChars="200"/>
        <w:rPr>
          <w:rFonts w:ascii="黑体" w:hAnsi="宋体" w:eastAsia="黑体"/>
          <w:bCs/>
          <w:szCs w:val="32"/>
        </w:rPr>
      </w:pPr>
    </w:p>
    <w:p>
      <w:pPr>
        <w:adjustRightInd w:val="0"/>
        <w:snapToGrid w:val="0"/>
        <w:spacing w:line="560" w:lineRule="exact"/>
        <w:ind w:right="-333" w:rightChars="-104" w:firstLine="640" w:firstLineChars="200"/>
        <w:rPr>
          <w:rFonts w:ascii="黑体" w:hAnsi="宋体" w:eastAsia="黑体"/>
          <w:bCs/>
          <w:szCs w:val="32"/>
        </w:rPr>
      </w:pPr>
    </w:p>
    <w:p>
      <w:pPr>
        <w:adjustRightInd w:val="0"/>
        <w:snapToGrid w:val="0"/>
        <w:spacing w:line="560" w:lineRule="exact"/>
        <w:ind w:right="-333" w:rightChars="-104" w:firstLine="640" w:firstLineChars="200"/>
        <w:rPr>
          <w:rFonts w:ascii="黑体" w:hAnsi="宋体" w:eastAsia="黑体"/>
          <w:bCs/>
          <w:szCs w:val="32"/>
        </w:rPr>
      </w:pPr>
    </w:p>
    <w:p>
      <w:pPr>
        <w:adjustRightInd w:val="0"/>
        <w:snapToGrid w:val="0"/>
        <w:spacing w:line="560" w:lineRule="exact"/>
        <w:ind w:right="-333" w:rightChars="-104" w:firstLine="640" w:firstLineChars="200"/>
        <w:rPr>
          <w:rFonts w:ascii="黑体" w:hAnsi="宋体" w:eastAsia="黑体"/>
          <w:bCs/>
          <w:szCs w:val="32"/>
        </w:rPr>
      </w:pPr>
    </w:p>
    <w:p>
      <w:pPr>
        <w:adjustRightInd w:val="0"/>
        <w:snapToGrid w:val="0"/>
        <w:spacing w:line="560" w:lineRule="exact"/>
        <w:ind w:right="-333" w:rightChars="-104" w:firstLine="640" w:firstLineChars="200"/>
        <w:rPr>
          <w:rFonts w:ascii="黑体" w:hAnsi="宋体" w:eastAsia="黑体"/>
          <w:bCs/>
          <w:szCs w:val="32"/>
        </w:rPr>
      </w:pPr>
    </w:p>
    <w:p>
      <w:pPr>
        <w:adjustRightInd w:val="0"/>
        <w:snapToGrid w:val="0"/>
        <w:spacing w:line="560" w:lineRule="exact"/>
        <w:ind w:right="-333" w:rightChars="-104" w:firstLine="640" w:firstLineChars="200"/>
        <w:rPr>
          <w:rFonts w:ascii="黑体" w:hAnsi="宋体" w:eastAsia="黑体"/>
          <w:bCs/>
          <w:szCs w:val="32"/>
        </w:rPr>
      </w:pPr>
    </w:p>
    <w:p>
      <w:pPr>
        <w:adjustRightInd w:val="0"/>
        <w:snapToGrid w:val="0"/>
        <w:spacing w:line="560" w:lineRule="exact"/>
        <w:ind w:right="-333" w:rightChars="-104" w:firstLine="640" w:firstLineChars="200"/>
        <w:rPr>
          <w:rFonts w:ascii="黑体" w:hAnsi="宋体" w:eastAsia="黑体"/>
          <w:bCs/>
          <w:szCs w:val="32"/>
        </w:rPr>
      </w:pPr>
    </w:p>
    <w:p>
      <w:pPr>
        <w:widowControl/>
        <w:jc w:val="left"/>
        <w:rPr>
          <w:rFonts w:ascii="黑体" w:hAnsi="宋体" w:eastAsia="黑体"/>
          <w:bCs/>
          <w:szCs w:val="32"/>
        </w:rPr>
      </w:pPr>
      <w:r>
        <w:rPr>
          <w:rFonts w:ascii="黑体" w:hAnsi="宋体" w:eastAsia="黑体"/>
          <w:bCs/>
          <w:szCs w:val="32"/>
        </w:rPr>
        <w:br w:type="page"/>
      </w:r>
    </w:p>
    <w:p>
      <w:pPr>
        <w:adjustRightInd w:val="0"/>
        <w:snapToGrid w:val="0"/>
        <w:spacing w:line="560" w:lineRule="exact"/>
        <w:ind w:right="-333" w:rightChars="-104" w:firstLine="640" w:firstLineChars="200"/>
        <w:rPr>
          <w:rFonts w:ascii="黑体" w:hAnsi="宋体" w:eastAsia="黑体"/>
          <w:bCs/>
          <w:szCs w:val="32"/>
        </w:rPr>
      </w:pPr>
      <w:r>
        <w:rPr>
          <w:rFonts w:hint="eastAsia" w:ascii="黑体" w:hAnsi="宋体" w:eastAsia="黑体"/>
          <w:bCs/>
          <w:szCs w:val="32"/>
        </w:rPr>
        <w:t>第一部分：部门概况</w:t>
      </w:r>
    </w:p>
    <w:p>
      <w:pPr>
        <w:adjustRightInd w:val="0"/>
        <w:snapToGrid w:val="0"/>
        <w:spacing w:line="560" w:lineRule="exact"/>
        <w:ind w:right="-333" w:rightChars="-104" w:firstLine="640" w:firstLineChars="200"/>
        <w:rPr>
          <w:rFonts w:ascii="黑体" w:hAnsi="宋体" w:eastAsia="黑体"/>
          <w:szCs w:val="32"/>
        </w:rPr>
      </w:pPr>
      <w:r>
        <w:rPr>
          <w:rFonts w:hint="eastAsia" w:ascii="黑体" w:hAnsi="宋体" w:eastAsia="黑体"/>
          <w:bCs/>
          <w:szCs w:val="32"/>
        </w:rPr>
        <w:t>一</w:t>
      </w:r>
      <w:r>
        <w:rPr>
          <w:rFonts w:hint="eastAsia" w:ascii="黑体" w:hAnsi="宋体" w:eastAsia="黑体"/>
          <w:szCs w:val="32"/>
        </w:rPr>
        <w:t>、主要职责</w:t>
      </w:r>
    </w:p>
    <w:p>
      <w:pPr>
        <w:pStyle w:val="2"/>
        <w:adjustRightInd w:val="0"/>
        <w:snapToGrid w:val="0"/>
        <w:ind w:firstLine="720" w:firstLineChars="225"/>
        <w:rPr>
          <w:rFonts w:ascii="宋体" w:hAnsi="宋体" w:eastAsia="宋体"/>
          <w:sz w:val="32"/>
          <w:szCs w:val="32"/>
        </w:rPr>
      </w:pPr>
      <w:r>
        <w:rPr>
          <w:rFonts w:hint="eastAsia" w:ascii="宋体" w:hAnsi="宋体" w:eastAsia="宋体"/>
          <w:sz w:val="32"/>
          <w:szCs w:val="32"/>
        </w:rPr>
        <w:t>(一)深入贯彻习近平新时代中国特色社会主义思想，深入贯彻党的路线方针政策和决策部署，统一全体检察人员思想和行动，坚持党对检察工作的绝对领导，坚决维护习近平总书记党中央的核心、全党的核心地位,坚决维护党中央权威和集中统一领导。</w:t>
      </w:r>
    </w:p>
    <w:p>
      <w:pPr>
        <w:pStyle w:val="2"/>
        <w:adjustRightInd w:val="0"/>
        <w:snapToGrid w:val="0"/>
        <w:ind w:firstLine="720" w:firstLineChars="225"/>
        <w:rPr>
          <w:rFonts w:ascii="宋体" w:hAnsi="宋体" w:eastAsia="宋体"/>
          <w:sz w:val="32"/>
          <w:szCs w:val="32"/>
        </w:rPr>
      </w:pPr>
      <w:r>
        <w:rPr>
          <w:rFonts w:hint="eastAsia" w:ascii="宋体" w:hAnsi="宋体" w:eastAsia="宋体"/>
          <w:sz w:val="32"/>
          <w:szCs w:val="32"/>
        </w:rPr>
        <w:t>(二)依法向灵川县人民代表大会及其常务委员会提出议案。</w:t>
      </w:r>
    </w:p>
    <w:p>
      <w:pPr>
        <w:pStyle w:val="2"/>
        <w:adjustRightInd w:val="0"/>
        <w:snapToGrid w:val="0"/>
        <w:ind w:firstLine="640" w:firstLineChars="200"/>
        <w:rPr>
          <w:rFonts w:ascii="宋体" w:hAnsi="宋体" w:eastAsia="宋体"/>
          <w:sz w:val="32"/>
          <w:szCs w:val="32"/>
        </w:rPr>
      </w:pPr>
      <w:r>
        <w:rPr>
          <w:rFonts w:hint="eastAsia" w:ascii="宋体" w:hAnsi="宋体" w:eastAsia="宋体"/>
          <w:sz w:val="32"/>
          <w:szCs w:val="32"/>
        </w:rPr>
        <w:t>（三)贯彻执行上级人民检察院检察工作方针，落实检察工作任务，接受相关业务指导。</w:t>
      </w:r>
    </w:p>
    <w:p>
      <w:pPr>
        <w:pStyle w:val="2"/>
        <w:adjustRightInd w:val="0"/>
        <w:snapToGrid w:val="0"/>
        <w:ind w:firstLine="720" w:firstLineChars="225"/>
        <w:rPr>
          <w:rFonts w:ascii="宋体" w:hAnsi="宋体" w:eastAsia="宋体"/>
          <w:sz w:val="32"/>
          <w:szCs w:val="32"/>
        </w:rPr>
      </w:pPr>
      <w:r>
        <w:rPr>
          <w:rFonts w:hint="eastAsia" w:ascii="宋体" w:hAnsi="宋体" w:eastAsia="宋体"/>
          <w:sz w:val="32"/>
          <w:szCs w:val="32"/>
        </w:rPr>
        <w:t>(四)负责应由灵川县人民检察院管辖的刑事犯罪案件的审查批准逮捕、决定逮捕、提起公诉工作。</w:t>
      </w:r>
    </w:p>
    <w:p>
      <w:pPr>
        <w:pStyle w:val="2"/>
        <w:adjustRightInd w:val="0"/>
        <w:snapToGrid w:val="0"/>
        <w:ind w:firstLine="720" w:firstLineChars="225"/>
        <w:rPr>
          <w:rFonts w:ascii="宋体" w:hAnsi="宋体" w:eastAsia="宋体"/>
          <w:sz w:val="32"/>
          <w:szCs w:val="32"/>
        </w:rPr>
      </w:pPr>
      <w:r>
        <w:rPr>
          <w:rFonts w:hint="eastAsia" w:ascii="宋体" w:hAnsi="宋体" w:eastAsia="宋体"/>
          <w:sz w:val="32"/>
          <w:szCs w:val="32"/>
        </w:rPr>
        <w:t>(五)负责应由灵川县人民检察院承办的刑事、民事、行政诉讼活动及刑事，民事，行政判决和裁定等生效法律文书执行的法律监督工作。</w:t>
      </w:r>
    </w:p>
    <w:p>
      <w:pPr>
        <w:pStyle w:val="2"/>
        <w:adjustRightInd w:val="0"/>
        <w:snapToGrid w:val="0"/>
        <w:ind w:firstLine="640" w:firstLineChars="200"/>
        <w:rPr>
          <w:rFonts w:ascii="宋体" w:hAnsi="宋体" w:eastAsia="宋体"/>
          <w:sz w:val="32"/>
          <w:szCs w:val="32"/>
        </w:rPr>
      </w:pPr>
      <w:r>
        <w:rPr>
          <w:rFonts w:hint="eastAsia" w:ascii="宋体" w:hAnsi="宋体" w:eastAsia="宋体"/>
          <w:sz w:val="32"/>
          <w:szCs w:val="32"/>
        </w:rPr>
        <w:t>（六)负责应由灵川县人民检察院承办的提起公益诉讼工作。</w:t>
      </w:r>
    </w:p>
    <w:p>
      <w:pPr>
        <w:pStyle w:val="2"/>
        <w:adjustRightInd w:val="0"/>
        <w:snapToGrid w:val="0"/>
        <w:ind w:firstLine="640" w:firstLineChars="200"/>
        <w:rPr>
          <w:rFonts w:ascii="宋体" w:hAnsi="宋体" w:eastAsia="宋体"/>
          <w:sz w:val="32"/>
          <w:szCs w:val="32"/>
        </w:rPr>
      </w:pPr>
      <w:r>
        <w:rPr>
          <w:rFonts w:hint="eastAsia" w:ascii="宋体" w:hAnsi="宋体" w:eastAsia="宋体"/>
          <w:sz w:val="32"/>
          <w:szCs w:val="32"/>
        </w:rPr>
        <w:t>（七)负责应由灵川县人民检察院承办的对看守所和社区矫正机构等执法活动的法律监督工作。</w:t>
      </w:r>
    </w:p>
    <w:p>
      <w:pPr>
        <w:pStyle w:val="2"/>
        <w:adjustRightInd w:val="0"/>
        <w:snapToGrid w:val="0"/>
        <w:ind w:firstLine="640" w:firstLineChars="200"/>
        <w:rPr>
          <w:rFonts w:ascii="宋体" w:hAnsi="宋体" w:eastAsia="宋体"/>
          <w:sz w:val="32"/>
          <w:szCs w:val="32"/>
        </w:rPr>
      </w:pPr>
      <w:r>
        <w:rPr>
          <w:rFonts w:hint="eastAsia" w:ascii="宋体" w:hAnsi="宋体" w:eastAsia="宋体"/>
          <w:sz w:val="32"/>
          <w:szCs w:val="32"/>
        </w:rPr>
        <w:t>（八)受理向灵川县人民检察院的控告申诉。</w:t>
      </w:r>
    </w:p>
    <w:p>
      <w:pPr>
        <w:pStyle w:val="2"/>
        <w:adjustRightInd w:val="0"/>
        <w:snapToGrid w:val="0"/>
        <w:ind w:firstLine="640" w:firstLineChars="200"/>
        <w:rPr>
          <w:rFonts w:ascii="宋体" w:hAnsi="宋体" w:eastAsia="宋体"/>
          <w:sz w:val="32"/>
          <w:szCs w:val="32"/>
        </w:rPr>
      </w:pPr>
      <w:r>
        <w:rPr>
          <w:rFonts w:hint="eastAsia" w:ascii="宋体" w:hAnsi="宋体" w:eastAsia="宋体"/>
          <w:sz w:val="32"/>
          <w:szCs w:val="32"/>
        </w:rPr>
        <w:t>（九)组织开展检察理论研究工作。</w:t>
      </w:r>
    </w:p>
    <w:p>
      <w:pPr>
        <w:pStyle w:val="2"/>
        <w:adjustRightInd w:val="0"/>
        <w:snapToGrid w:val="0"/>
        <w:ind w:firstLine="640" w:firstLineChars="200"/>
        <w:rPr>
          <w:rFonts w:ascii="宋体" w:hAnsi="宋体" w:eastAsia="宋体"/>
          <w:sz w:val="32"/>
          <w:szCs w:val="32"/>
        </w:rPr>
      </w:pPr>
      <w:r>
        <w:rPr>
          <w:rFonts w:hint="eastAsia" w:ascii="宋体" w:hAnsi="宋体" w:eastAsia="宋体"/>
          <w:sz w:val="32"/>
          <w:szCs w:val="32"/>
        </w:rPr>
        <w:t>（十)负责灵川县人民检察院的队伍建设和思想政治工作。依法管理全院检察官及其他检察人员，制定相关人员管理办法，组织开展检察教育培训工作。</w:t>
      </w:r>
    </w:p>
    <w:p>
      <w:pPr>
        <w:pStyle w:val="2"/>
        <w:adjustRightInd w:val="0"/>
        <w:snapToGrid w:val="0"/>
        <w:ind w:firstLine="640" w:firstLineChars="200"/>
        <w:rPr>
          <w:rFonts w:ascii="宋体" w:hAnsi="宋体" w:eastAsia="宋体"/>
          <w:sz w:val="32"/>
          <w:szCs w:val="32"/>
        </w:rPr>
      </w:pPr>
      <w:r>
        <w:rPr>
          <w:rFonts w:hint="eastAsia" w:ascii="宋体" w:hAnsi="宋体" w:eastAsia="宋体"/>
          <w:sz w:val="32"/>
          <w:szCs w:val="32"/>
        </w:rPr>
        <w:t>（十一)负责实施检察机关财务装备、检察技术信息工作规划。</w:t>
      </w:r>
    </w:p>
    <w:p>
      <w:pPr>
        <w:pStyle w:val="2"/>
        <w:adjustRightInd w:val="0"/>
        <w:snapToGrid w:val="0"/>
        <w:ind w:firstLine="640" w:firstLineChars="200"/>
        <w:rPr>
          <w:rFonts w:ascii="宋体" w:hAnsi="宋体" w:eastAsia="宋体"/>
          <w:sz w:val="32"/>
          <w:szCs w:val="32"/>
        </w:rPr>
      </w:pPr>
      <w:r>
        <w:rPr>
          <w:rFonts w:hint="eastAsia" w:ascii="宋体" w:hAnsi="宋体" w:eastAsia="宋体"/>
          <w:sz w:val="32"/>
          <w:szCs w:val="32"/>
        </w:rPr>
        <w:t>（十二)负责其他应当由灵川县人民检察院承办的事项。</w:t>
      </w:r>
    </w:p>
    <w:p>
      <w:pPr>
        <w:spacing w:line="560" w:lineRule="exact"/>
        <w:ind w:firstLine="640" w:firstLineChars="200"/>
        <w:rPr>
          <w:rFonts w:ascii="黑体" w:hAnsi="宋体" w:eastAsia="黑体"/>
          <w:szCs w:val="32"/>
        </w:rPr>
      </w:pPr>
      <w:r>
        <w:rPr>
          <w:rFonts w:hint="eastAsia" w:ascii="黑体" w:hAnsi="宋体" w:eastAsia="黑体"/>
          <w:szCs w:val="32"/>
        </w:rPr>
        <w:t>二、机构设置情况</w:t>
      </w:r>
    </w:p>
    <w:p>
      <w:pPr>
        <w:pStyle w:val="2"/>
        <w:adjustRightInd w:val="0"/>
        <w:snapToGrid w:val="0"/>
        <w:ind w:firstLine="720" w:firstLineChars="225"/>
        <w:rPr>
          <w:rFonts w:ascii="宋体" w:hAnsi="宋体" w:eastAsia="宋体"/>
          <w:sz w:val="32"/>
          <w:szCs w:val="32"/>
        </w:rPr>
      </w:pPr>
      <w:r>
        <w:rPr>
          <w:rFonts w:hint="eastAsia" w:ascii="宋体" w:hAnsi="宋体" w:eastAsia="宋体"/>
          <w:sz w:val="32"/>
          <w:szCs w:val="32"/>
        </w:rPr>
        <w:t>(一)办公室。负责机关文电、会务、机要、档案、保密、值班等工作。协助院领导处理检察政务，组织协调院重要工作部署、重大决策的贯彻实施。起草审核文件文稿，处理检察信息，编发内部刊物。负责新闻宣传和舆论引导工作。负责人大代表联络工作。负责财务装备管理工作。负责检察技术、信息化建设管理和信息安全工作。负责司法警察工作，负责重要工作部署、事项的督查。</w:t>
      </w:r>
    </w:p>
    <w:p>
      <w:pPr>
        <w:pStyle w:val="2"/>
        <w:adjustRightInd w:val="0"/>
        <w:snapToGrid w:val="0"/>
        <w:ind w:firstLine="720" w:firstLineChars="225"/>
        <w:rPr>
          <w:rFonts w:ascii="宋体" w:hAnsi="宋体" w:eastAsia="宋体"/>
          <w:sz w:val="32"/>
          <w:szCs w:val="32"/>
        </w:rPr>
      </w:pPr>
      <w:r>
        <w:rPr>
          <w:rFonts w:hint="eastAsia" w:ascii="宋体" w:hAnsi="宋体" w:eastAsia="宋体"/>
          <w:sz w:val="32"/>
          <w:szCs w:val="32"/>
        </w:rPr>
        <w:t>(二)第一检察部，负责对法律规定由灵川县人民检察院办理的刑事案件的审查逮捕、审查起诉、出庭支持公诉、抗诉，开展相关立案监督、侦查监督、审判监督以及相关案件的补充侦查。开展未成年人司法保护和预防未成年人犯罪工作。办理灵川县人民检察院管辖的刑事申诉案件。</w:t>
      </w:r>
    </w:p>
    <w:p>
      <w:pPr>
        <w:pStyle w:val="2"/>
        <w:adjustRightInd w:val="0"/>
        <w:snapToGrid w:val="0"/>
        <w:ind w:firstLine="720" w:firstLineChars="225"/>
        <w:rPr>
          <w:rFonts w:ascii="宋体" w:hAnsi="宋体" w:eastAsia="宋体"/>
          <w:sz w:val="32"/>
          <w:szCs w:val="32"/>
        </w:rPr>
      </w:pPr>
      <w:r>
        <w:rPr>
          <w:rFonts w:hint="eastAsia" w:ascii="宋体" w:hAnsi="宋体" w:eastAsia="宋体"/>
          <w:sz w:val="32"/>
          <w:szCs w:val="32"/>
        </w:rPr>
        <w:t>(三)第二检察部。负责办理向灵川县人民检察院申请监督的一审生效民事行政判决、裁定案件的审查,提出再审检察建议、提请抗诉。承办对灵川县人民法院民事、行政诉讼活动的法律监督，对审判监督程序以外的其他民事、行政审判程序中审判人员的违法行为提出检察建议、对民事、行政执行活动实行法律监督。对虚假诉讼、虚假调解进行监督。开展民事支持起诉工作。对行政机关在行政诉讼中的违法行为进行监督。负责办理破坏生态环境和资源保护、食品药品安全领域侵害众多消费者合法权益等损害社会公共利益的刑事附带民事公益诉讼案件。负责办理生态环境和资源保护、食品药品安全、国有财产保护、国有土地使用权出让等领域的行政公益诉讼案件。负责对灵川县人民检察院提起的公益诉讼案件，派员出席法庭，依照有关规定提出检察建议。对公益诉讼执行活动进行监督。办理灵川县人民检察院管辖的民事、行政申诉案件。</w:t>
      </w:r>
    </w:p>
    <w:p>
      <w:pPr>
        <w:pStyle w:val="2"/>
        <w:adjustRightInd w:val="0"/>
        <w:snapToGrid w:val="0"/>
        <w:ind w:firstLine="720" w:firstLineChars="225"/>
        <w:rPr>
          <w:rFonts w:ascii="宋体" w:hAnsi="宋体" w:eastAsia="宋体"/>
          <w:sz w:val="32"/>
          <w:szCs w:val="32"/>
        </w:rPr>
      </w:pPr>
      <w:r>
        <w:rPr>
          <w:rFonts w:hint="eastAsia" w:ascii="宋体" w:hAnsi="宋体" w:eastAsia="宋体"/>
          <w:sz w:val="32"/>
          <w:szCs w:val="32"/>
        </w:rPr>
        <w:t>(四)第三检察部。负责对看守所和社区矫正机构等执法活动的监督，对刑事判决、裁定执行、强制医疗执行、羁押和办案期限的监督，羁押必要性审查。办理罪犯又犯罪案件。负责受理向灵川县人民检察院的控告和申诉。承办灵川县人民检察院管辖的国家赔偿案件和国家司法救助案件。承担检察理论研究工作和检察委员会日常工作。负责案件的统一受理流转。办案流程监控，涉案财物监管、法律文书监管、案件信息公开。组织办案质量评业务考评和业务统计分析研判，组织人民监督员工作。</w:t>
      </w:r>
    </w:p>
    <w:p>
      <w:pPr>
        <w:pStyle w:val="2"/>
        <w:adjustRightInd w:val="0"/>
        <w:snapToGrid w:val="0"/>
        <w:ind w:firstLine="720" w:firstLineChars="225"/>
        <w:rPr>
          <w:rFonts w:ascii="宋体" w:hAnsi="宋体" w:eastAsia="宋体"/>
          <w:sz w:val="32"/>
          <w:szCs w:val="32"/>
        </w:rPr>
      </w:pPr>
      <w:r>
        <w:rPr>
          <w:rFonts w:hint="eastAsia" w:ascii="宋体" w:hAnsi="宋体" w:eastAsia="宋体"/>
          <w:sz w:val="32"/>
          <w:szCs w:val="32"/>
        </w:rPr>
        <w:t>（五）政治部。负责思想政治工作和组织人事工作。负责对执行法律、法规和上级人民检察院及本院的规定、决定的情况进行督察。负责检察官惩戒相关工作。承担内部审计工作。负责巡察相关工作。负责党群工作。</w:t>
      </w:r>
    </w:p>
    <w:p>
      <w:pPr>
        <w:pStyle w:val="2"/>
        <w:adjustRightInd w:val="0"/>
        <w:snapToGrid w:val="0"/>
        <w:ind w:firstLine="720" w:firstLineChars="225"/>
        <w:rPr>
          <w:rFonts w:ascii="宋体" w:hAnsi="宋体" w:eastAsia="宋体"/>
          <w:sz w:val="32"/>
          <w:szCs w:val="32"/>
        </w:rPr>
      </w:pPr>
      <w:r>
        <w:rPr>
          <w:rFonts w:hint="eastAsia" w:ascii="宋体" w:hAnsi="宋体" w:eastAsia="宋体"/>
          <w:sz w:val="32"/>
          <w:szCs w:val="32"/>
        </w:rPr>
        <w:t>灵川县人民检察院设置3个派出机构：</w:t>
      </w:r>
    </w:p>
    <w:p>
      <w:pPr>
        <w:pStyle w:val="2"/>
        <w:adjustRightInd w:val="0"/>
        <w:snapToGrid w:val="0"/>
        <w:ind w:firstLine="720" w:firstLineChars="225"/>
        <w:rPr>
          <w:rFonts w:ascii="宋体" w:hAnsi="宋体" w:eastAsia="宋体"/>
          <w:sz w:val="32"/>
          <w:szCs w:val="32"/>
        </w:rPr>
      </w:pPr>
      <w:r>
        <w:rPr>
          <w:rFonts w:hint="eastAsia" w:ascii="宋体" w:hAnsi="宋体" w:eastAsia="宋体"/>
          <w:sz w:val="32"/>
          <w:szCs w:val="32"/>
        </w:rPr>
        <w:t>派驻灵川县看守所检察室。负责保证国家法律法规在刑罚执行和监管活动中的正确实施，维护在押人员合法权益，维护看守所监管秩序稳定，保障刑事诉讼活动、惩罚与改造罪犯工作顺利进行。</w:t>
      </w:r>
    </w:p>
    <w:p>
      <w:pPr>
        <w:pStyle w:val="2"/>
        <w:adjustRightInd w:val="0"/>
        <w:snapToGrid w:val="0"/>
        <w:ind w:firstLine="720" w:firstLineChars="225"/>
        <w:rPr>
          <w:rFonts w:hint="eastAsia" w:ascii="宋体" w:hAnsi="宋体" w:eastAsia="宋体"/>
          <w:sz w:val="32"/>
          <w:szCs w:val="32"/>
        </w:rPr>
      </w:pPr>
      <w:r>
        <w:rPr>
          <w:rFonts w:hint="eastAsia" w:ascii="宋体" w:hAnsi="宋体" w:eastAsia="宋体"/>
          <w:sz w:val="32"/>
          <w:szCs w:val="32"/>
        </w:rPr>
        <w:t>派驻大圩检察室、派驻潭下检察室。负责接收群众控告、申诉，接待群众来信来访。受理、发现执法不严、司法不公问题，对诉讼中的违法问题进行法律监督。开展法制宣传，化解社会矛盾，参与社会治安综合治理和平安创建。监督并配合开展社区矫正工作。负责灵川县人民检察院交办的其他事项。</w:t>
      </w:r>
    </w:p>
    <w:p>
      <w:pPr>
        <w:spacing w:line="586" w:lineRule="exact"/>
        <w:ind w:firstLine="627" w:firstLineChars="196"/>
        <w:rPr>
          <w:rFonts w:eastAsia="黑体"/>
          <w:szCs w:val="32"/>
        </w:rPr>
      </w:pPr>
    </w:p>
    <w:p>
      <w:pPr>
        <w:autoSpaceDE w:val="0"/>
        <w:autoSpaceDN w:val="0"/>
        <w:adjustRightInd w:val="0"/>
        <w:spacing w:line="586" w:lineRule="exact"/>
        <w:ind w:left="16" w:leftChars="5" w:firstLine="627" w:firstLineChars="196"/>
        <w:rPr>
          <w:rFonts w:eastAsia="黑体"/>
          <w:szCs w:val="32"/>
        </w:rPr>
      </w:pPr>
      <w:r>
        <w:rPr>
          <w:rFonts w:hint="eastAsia" w:ascii="黑体" w:eastAsia="黑体"/>
          <w:szCs w:val="32"/>
        </w:rPr>
        <w:t>第二部分：</w:t>
      </w:r>
      <w:r>
        <w:rPr>
          <w:rFonts w:hint="eastAsia" w:hAnsi="黑体" w:eastAsia="黑体"/>
          <w:szCs w:val="32"/>
          <w:lang w:eastAsia="zh-CN"/>
        </w:rPr>
        <w:t>灵川县人民检察院</w:t>
      </w:r>
      <w:r>
        <w:rPr>
          <w:rFonts w:eastAsia="黑体"/>
          <w:szCs w:val="32"/>
        </w:rPr>
        <w:t>202</w:t>
      </w:r>
      <w:r>
        <w:rPr>
          <w:rFonts w:hint="eastAsia" w:eastAsia="黑体"/>
          <w:szCs w:val="32"/>
        </w:rPr>
        <w:t>4</w:t>
      </w:r>
      <w:r>
        <w:rPr>
          <w:rFonts w:hAnsi="黑体" w:eastAsia="黑体"/>
          <w:szCs w:val="32"/>
        </w:rPr>
        <w:t>年部门预算情况说明</w:t>
      </w:r>
    </w:p>
    <w:p>
      <w:pPr>
        <w:tabs>
          <w:tab w:val="center" w:pos="4475"/>
        </w:tabs>
        <w:spacing w:line="560" w:lineRule="exact"/>
        <w:ind w:firstLine="645"/>
        <w:rPr>
          <w:rFonts w:ascii="黑体" w:eastAsia="黑体"/>
          <w:szCs w:val="32"/>
        </w:rPr>
      </w:pPr>
      <w:r>
        <w:rPr>
          <w:rFonts w:hint="eastAsia" w:ascii="黑体" w:eastAsia="黑体"/>
          <w:szCs w:val="32"/>
        </w:rPr>
        <w:t>一、部门收支总体情况说明</w:t>
      </w:r>
    </w:p>
    <w:p>
      <w:pPr>
        <w:tabs>
          <w:tab w:val="center" w:pos="4475"/>
        </w:tabs>
        <w:spacing w:line="560" w:lineRule="exact"/>
        <w:ind w:firstLine="645"/>
        <w:rPr>
          <w:rFonts w:ascii="黑体" w:eastAsia="黑体"/>
          <w:szCs w:val="32"/>
        </w:rPr>
      </w:pPr>
      <w:r>
        <w:rPr>
          <w:rFonts w:hint="eastAsia" w:ascii="仿宋_GB2312" w:hAnsi="宋体"/>
          <w:szCs w:val="32"/>
        </w:rPr>
        <w:t>我部门</w:t>
      </w:r>
      <w:r>
        <w:rPr>
          <w:rFonts w:hint="eastAsia" w:ascii="仿宋_GB2312"/>
          <w:szCs w:val="32"/>
        </w:rPr>
        <w:t>总收入</w:t>
      </w:r>
      <w:r>
        <w:rPr>
          <w:rFonts w:hint="eastAsia" w:eastAsia="仿宋_GB2312"/>
          <w:sz w:val="32"/>
          <w:szCs w:val="32"/>
          <w:u w:val="single"/>
        </w:rPr>
        <w:t>1030.10</w:t>
      </w:r>
      <w:r>
        <w:rPr>
          <w:rFonts w:hint="eastAsia" w:ascii="仿宋_GB2312"/>
          <w:szCs w:val="32"/>
        </w:rPr>
        <w:t>万元，总支出</w:t>
      </w:r>
      <w:r>
        <w:rPr>
          <w:rFonts w:hint="eastAsia" w:eastAsia="仿宋_GB2312"/>
          <w:sz w:val="32"/>
          <w:szCs w:val="32"/>
          <w:u w:val="single"/>
        </w:rPr>
        <w:t>1030.10</w:t>
      </w:r>
      <w:r>
        <w:rPr>
          <w:rFonts w:hint="eastAsia" w:ascii="仿宋_GB2312"/>
          <w:szCs w:val="32"/>
        </w:rPr>
        <w:t>万元（不含财政拨款上年未列支结转收支数）。总收入较上年减少</w:t>
      </w:r>
      <w:r>
        <w:rPr>
          <w:rFonts w:hint="eastAsia" w:ascii="仿宋_GB2312"/>
          <w:szCs w:val="32"/>
          <w:u w:val="single"/>
          <w:lang w:val="en-US" w:eastAsia="zh-CN"/>
        </w:rPr>
        <w:t>7.78</w:t>
      </w:r>
      <w:r>
        <w:rPr>
          <w:rFonts w:hint="eastAsia" w:ascii="仿宋_GB2312"/>
          <w:szCs w:val="32"/>
          <w:u w:val="single"/>
        </w:rPr>
        <w:t xml:space="preserve"> %</w:t>
      </w:r>
      <w:r>
        <w:rPr>
          <w:rFonts w:hint="eastAsia" w:ascii="仿宋_GB2312"/>
          <w:szCs w:val="32"/>
        </w:rPr>
        <w:t>，主要原因是</w:t>
      </w:r>
      <w:r>
        <w:rPr>
          <w:rFonts w:hint="eastAsia" w:ascii="仿宋_GB2312"/>
          <w:szCs w:val="32"/>
          <w:lang w:eastAsia="zh-CN"/>
        </w:rPr>
        <w:t>人员变动</w:t>
      </w:r>
      <w:r>
        <w:rPr>
          <w:rFonts w:hint="eastAsia" w:ascii="仿宋_GB2312"/>
          <w:szCs w:val="32"/>
        </w:rPr>
        <w:t>。总支出较上年减少</w:t>
      </w:r>
      <w:r>
        <w:rPr>
          <w:rFonts w:hint="eastAsia" w:ascii="仿宋_GB2312"/>
          <w:szCs w:val="32"/>
          <w:u w:val="single"/>
          <w:lang w:val="en-US" w:eastAsia="zh-CN"/>
        </w:rPr>
        <w:t>7.78</w:t>
      </w:r>
      <w:r>
        <w:rPr>
          <w:rFonts w:hint="eastAsia" w:ascii="仿宋_GB2312"/>
          <w:szCs w:val="32"/>
          <w:u w:val="single"/>
        </w:rPr>
        <w:t xml:space="preserve"> %</w:t>
      </w:r>
      <w:r>
        <w:rPr>
          <w:rFonts w:hint="eastAsia" w:ascii="仿宋_GB2312"/>
          <w:szCs w:val="32"/>
        </w:rPr>
        <w:t>，主要原因是</w:t>
      </w:r>
      <w:r>
        <w:rPr>
          <w:rFonts w:hint="eastAsia" w:ascii="仿宋_GB2312"/>
          <w:szCs w:val="32"/>
          <w:lang w:eastAsia="zh-CN"/>
        </w:rPr>
        <w:t>人员变动</w:t>
      </w:r>
      <w:r>
        <w:rPr>
          <w:rFonts w:hint="eastAsia" w:ascii="仿宋_GB2312"/>
          <w:szCs w:val="32"/>
        </w:rPr>
        <w:t>。</w:t>
      </w:r>
    </w:p>
    <w:p>
      <w:pPr>
        <w:tabs>
          <w:tab w:val="center" w:pos="4475"/>
        </w:tabs>
        <w:spacing w:line="560" w:lineRule="exact"/>
        <w:ind w:firstLine="645"/>
        <w:rPr>
          <w:rFonts w:ascii="黑体" w:eastAsia="黑体"/>
          <w:szCs w:val="32"/>
        </w:rPr>
      </w:pPr>
      <w:r>
        <w:rPr>
          <w:rFonts w:hint="eastAsia" w:ascii="黑体" w:eastAsia="黑体"/>
          <w:szCs w:val="32"/>
        </w:rPr>
        <w:t>二、部门收入总体情况说明</w:t>
      </w:r>
    </w:p>
    <w:p>
      <w:pPr>
        <w:tabs>
          <w:tab w:val="center" w:pos="4475"/>
        </w:tabs>
        <w:spacing w:line="560" w:lineRule="exact"/>
        <w:ind w:firstLine="645"/>
        <w:rPr>
          <w:rFonts w:ascii="黑体" w:eastAsia="黑体"/>
          <w:szCs w:val="32"/>
        </w:rPr>
      </w:pPr>
      <w:r>
        <w:rPr>
          <w:rFonts w:hint="eastAsia" w:ascii="仿宋_GB2312" w:hAnsi="宋体"/>
          <w:szCs w:val="32"/>
        </w:rPr>
        <w:t>我部门</w:t>
      </w:r>
      <w:r>
        <w:rPr>
          <w:rFonts w:hint="eastAsia" w:ascii="仿宋_GB2312"/>
          <w:szCs w:val="32"/>
        </w:rPr>
        <w:t>总收入</w:t>
      </w:r>
      <w:r>
        <w:rPr>
          <w:rFonts w:hint="eastAsia" w:eastAsia="仿宋_GB2312"/>
          <w:sz w:val="32"/>
          <w:szCs w:val="32"/>
          <w:u w:val="single"/>
        </w:rPr>
        <w:t>1030.10</w:t>
      </w:r>
      <w:r>
        <w:rPr>
          <w:rFonts w:hint="eastAsia" w:ascii="仿宋_GB2312"/>
          <w:szCs w:val="32"/>
        </w:rPr>
        <w:t>万元，较上年减少</w:t>
      </w:r>
      <w:r>
        <w:rPr>
          <w:rFonts w:hint="eastAsia" w:ascii="仿宋_GB2312"/>
          <w:szCs w:val="32"/>
          <w:u w:val="single"/>
          <w:lang w:val="en-US" w:eastAsia="zh-CN"/>
        </w:rPr>
        <w:t>7.78</w:t>
      </w:r>
      <w:r>
        <w:rPr>
          <w:rFonts w:hint="eastAsia" w:ascii="仿宋_GB2312"/>
          <w:szCs w:val="32"/>
          <w:u w:val="single"/>
        </w:rPr>
        <w:t xml:space="preserve"> %</w:t>
      </w:r>
      <w:r>
        <w:rPr>
          <w:rFonts w:hint="eastAsia" w:ascii="仿宋_GB2312"/>
          <w:szCs w:val="32"/>
        </w:rPr>
        <w:t>，主要原因是</w:t>
      </w:r>
      <w:r>
        <w:rPr>
          <w:rFonts w:hint="eastAsia" w:ascii="仿宋_GB2312"/>
          <w:szCs w:val="32"/>
          <w:lang w:eastAsia="zh-CN"/>
        </w:rPr>
        <w:t>人员变动</w:t>
      </w:r>
      <w:r>
        <w:rPr>
          <w:rFonts w:hint="eastAsia" w:ascii="仿宋_GB2312"/>
          <w:szCs w:val="32"/>
        </w:rPr>
        <w:t>。</w:t>
      </w:r>
    </w:p>
    <w:p>
      <w:pPr>
        <w:tabs>
          <w:tab w:val="center" w:pos="4475"/>
        </w:tabs>
        <w:spacing w:line="560" w:lineRule="exact"/>
        <w:ind w:firstLine="645"/>
        <w:rPr>
          <w:rFonts w:ascii="黑体" w:eastAsia="黑体"/>
          <w:szCs w:val="32"/>
        </w:rPr>
      </w:pPr>
      <w:r>
        <w:rPr>
          <w:rFonts w:hint="eastAsia" w:ascii="黑体" w:eastAsia="黑体"/>
          <w:szCs w:val="32"/>
        </w:rPr>
        <w:t>三、部门支出总体情况说明</w:t>
      </w:r>
    </w:p>
    <w:p>
      <w:pPr>
        <w:tabs>
          <w:tab w:val="center" w:pos="4475"/>
        </w:tabs>
        <w:spacing w:line="560" w:lineRule="exact"/>
        <w:ind w:firstLine="645"/>
        <w:rPr>
          <w:rFonts w:ascii="黑体" w:eastAsia="黑体"/>
          <w:szCs w:val="32"/>
        </w:rPr>
      </w:pPr>
      <w:r>
        <w:rPr>
          <w:rFonts w:hint="eastAsia" w:ascii="仿宋_GB2312" w:hAnsi="宋体"/>
          <w:szCs w:val="32"/>
        </w:rPr>
        <w:t>我部门</w:t>
      </w:r>
      <w:r>
        <w:rPr>
          <w:rFonts w:hint="eastAsia" w:ascii="仿宋_GB2312"/>
          <w:szCs w:val="32"/>
        </w:rPr>
        <w:t>总支出</w:t>
      </w:r>
      <w:r>
        <w:rPr>
          <w:rFonts w:hint="eastAsia" w:eastAsia="仿宋_GB2312"/>
          <w:sz w:val="32"/>
          <w:szCs w:val="32"/>
          <w:u w:val="single"/>
        </w:rPr>
        <w:t>1030.10</w:t>
      </w:r>
      <w:r>
        <w:rPr>
          <w:rFonts w:hint="eastAsia" w:ascii="仿宋_GB2312"/>
          <w:szCs w:val="32"/>
        </w:rPr>
        <w:t>万元，较上年减少</w:t>
      </w:r>
      <w:r>
        <w:rPr>
          <w:rFonts w:hint="eastAsia" w:ascii="仿宋_GB2312"/>
          <w:szCs w:val="32"/>
          <w:u w:val="single"/>
          <w:lang w:val="en-US" w:eastAsia="zh-CN"/>
        </w:rPr>
        <w:t>7.78</w:t>
      </w:r>
      <w:r>
        <w:rPr>
          <w:rFonts w:hint="eastAsia" w:ascii="仿宋_GB2312"/>
          <w:szCs w:val="32"/>
          <w:u w:val="single"/>
        </w:rPr>
        <w:t xml:space="preserve"> %</w:t>
      </w:r>
      <w:r>
        <w:rPr>
          <w:rFonts w:hint="eastAsia" w:ascii="仿宋_GB2312"/>
          <w:szCs w:val="32"/>
        </w:rPr>
        <w:t>，主要原因是</w:t>
      </w:r>
      <w:r>
        <w:rPr>
          <w:rFonts w:hint="eastAsia" w:ascii="仿宋_GB2312"/>
          <w:szCs w:val="32"/>
          <w:lang w:eastAsia="zh-CN"/>
        </w:rPr>
        <w:t>人员变动</w:t>
      </w:r>
      <w:r>
        <w:rPr>
          <w:rFonts w:hint="eastAsia" w:ascii="仿宋_GB2312"/>
          <w:szCs w:val="32"/>
        </w:rPr>
        <w:t>。</w:t>
      </w:r>
    </w:p>
    <w:p>
      <w:pPr>
        <w:tabs>
          <w:tab w:val="center" w:pos="4475"/>
        </w:tabs>
        <w:spacing w:line="560" w:lineRule="exact"/>
        <w:ind w:firstLine="645"/>
        <w:rPr>
          <w:rFonts w:ascii="黑体" w:eastAsia="黑体"/>
          <w:szCs w:val="32"/>
        </w:rPr>
      </w:pPr>
      <w:r>
        <w:rPr>
          <w:rFonts w:hint="eastAsia" w:ascii="黑体" w:eastAsia="黑体"/>
          <w:szCs w:val="32"/>
        </w:rPr>
        <w:t>四、财政拨款收支总体情况说明</w:t>
      </w:r>
    </w:p>
    <w:p>
      <w:pPr>
        <w:spacing w:line="586" w:lineRule="exact"/>
        <w:ind w:firstLine="582" w:firstLineChars="182"/>
        <w:rPr>
          <w:rFonts w:eastAsia="仿宋_GB2312"/>
          <w:sz w:val="32"/>
          <w:szCs w:val="32"/>
        </w:rPr>
      </w:pPr>
      <w:r>
        <w:rPr>
          <w:rFonts w:hint="eastAsia" w:ascii="仿宋_GB2312" w:hAnsi="宋体"/>
          <w:szCs w:val="32"/>
        </w:rPr>
        <w:t>我部门</w:t>
      </w:r>
      <w:r>
        <w:rPr>
          <w:rFonts w:hint="eastAsia" w:ascii="仿宋_GB2312"/>
          <w:szCs w:val="32"/>
        </w:rPr>
        <w:t>财政拨款总收入</w:t>
      </w:r>
      <w:r>
        <w:rPr>
          <w:rFonts w:hint="eastAsia" w:eastAsia="仿宋_GB2312"/>
          <w:sz w:val="32"/>
          <w:szCs w:val="32"/>
          <w:u w:val="single"/>
        </w:rPr>
        <w:t>1030.10</w:t>
      </w:r>
      <w:r>
        <w:rPr>
          <w:rFonts w:hint="eastAsia" w:ascii="仿宋_GB2312"/>
          <w:szCs w:val="32"/>
        </w:rPr>
        <w:t>万元，总支出</w:t>
      </w:r>
      <w:r>
        <w:rPr>
          <w:rFonts w:hint="eastAsia" w:eastAsia="仿宋_GB2312"/>
          <w:sz w:val="32"/>
          <w:szCs w:val="32"/>
          <w:u w:val="single"/>
        </w:rPr>
        <w:t>1030.10</w:t>
      </w:r>
      <w:r>
        <w:rPr>
          <w:rFonts w:hint="eastAsia" w:ascii="仿宋_GB2312"/>
          <w:szCs w:val="32"/>
        </w:rPr>
        <w:t>万元（不含财政拨款上年未列支结转收支数）。</w:t>
      </w:r>
      <w:r>
        <w:rPr>
          <w:rFonts w:eastAsia="仿宋_GB2312"/>
          <w:sz w:val="32"/>
          <w:szCs w:val="32"/>
        </w:rPr>
        <w:t>其中，一般公共预算支出</w:t>
      </w:r>
      <w:r>
        <w:rPr>
          <w:rFonts w:hint="eastAsia" w:eastAsia="仿宋_GB2312"/>
          <w:sz w:val="32"/>
          <w:szCs w:val="32"/>
          <w:u w:val="single"/>
        </w:rPr>
        <w:t>998.49</w:t>
      </w:r>
      <w:r>
        <w:rPr>
          <w:rFonts w:eastAsia="仿宋_GB2312"/>
          <w:sz w:val="32"/>
          <w:szCs w:val="32"/>
        </w:rPr>
        <w:t>万元</w:t>
      </w:r>
      <w:r>
        <w:rPr>
          <w:rFonts w:hint="eastAsia" w:eastAsia="仿宋_GB2312"/>
          <w:sz w:val="32"/>
          <w:szCs w:val="32"/>
        </w:rPr>
        <w:t>(不含结余结转)；政府性基金预算支出</w:t>
      </w:r>
      <w:r>
        <w:rPr>
          <w:rFonts w:hint="eastAsia" w:eastAsia="仿宋_GB2312"/>
          <w:sz w:val="32"/>
          <w:szCs w:val="32"/>
          <w:u w:val="single"/>
        </w:rPr>
        <w:t>3.08</w:t>
      </w:r>
      <w:r>
        <w:rPr>
          <w:rFonts w:eastAsia="仿宋_GB2312"/>
          <w:sz w:val="32"/>
          <w:szCs w:val="32"/>
        </w:rPr>
        <w:t>万元</w:t>
      </w:r>
      <w:r>
        <w:rPr>
          <w:rFonts w:hint="eastAsia" w:eastAsia="仿宋_GB2312"/>
          <w:sz w:val="32"/>
          <w:szCs w:val="32"/>
        </w:rPr>
        <w:t>(不含结余结转)</w:t>
      </w:r>
      <w:r>
        <w:rPr>
          <w:rFonts w:eastAsia="仿宋_GB2312"/>
          <w:sz w:val="32"/>
          <w:szCs w:val="32"/>
        </w:rPr>
        <w:t>。</w:t>
      </w:r>
    </w:p>
    <w:p>
      <w:pPr>
        <w:tabs>
          <w:tab w:val="center" w:pos="4475"/>
        </w:tabs>
        <w:spacing w:line="560" w:lineRule="exact"/>
        <w:ind w:firstLine="645"/>
        <w:rPr>
          <w:rFonts w:ascii="仿宋_GB2312"/>
          <w:szCs w:val="32"/>
        </w:rPr>
      </w:pPr>
      <w:r>
        <w:rPr>
          <w:rFonts w:hint="eastAsia" w:ascii="仿宋_GB2312"/>
          <w:szCs w:val="32"/>
        </w:rPr>
        <w:t>财政拨款总收入较上年减少</w:t>
      </w:r>
      <w:r>
        <w:rPr>
          <w:rFonts w:hint="eastAsia" w:ascii="仿宋_GB2312"/>
          <w:szCs w:val="32"/>
          <w:u w:val="single"/>
          <w:lang w:val="en-US" w:eastAsia="zh-CN"/>
        </w:rPr>
        <w:t>7.78</w:t>
      </w:r>
      <w:r>
        <w:rPr>
          <w:rFonts w:hint="eastAsia" w:ascii="仿宋_GB2312"/>
          <w:szCs w:val="32"/>
          <w:u w:val="single"/>
        </w:rPr>
        <w:t xml:space="preserve"> %</w:t>
      </w:r>
      <w:r>
        <w:rPr>
          <w:rFonts w:hint="eastAsia" w:ascii="仿宋_GB2312"/>
          <w:szCs w:val="32"/>
        </w:rPr>
        <w:t>，主要原因是</w:t>
      </w:r>
      <w:r>
        <w:rPr>
          <w:rFonts w:hint="eastAsia" w:ascii="仿宋_GB2312"/>
          <w:szCs w:val="32"/>
          <w:lang w:eastAsia="zh-CN"/>
        </w:rPr>
        <w:t>人员变动</w:t>
      </w:r>
      <w:r>
        <w:rPr>
          <w:rFonts w:hint="eastAsia" w:ascii="仿宋_GB2312"/>
          <w:szCs w:val="32"/>
        </w:rPr>
        <w:t>。财政拨款总支出较上年减少</w:t>
      </w:r>
      <w:r>
        <w:rPr>
          <w:rFonts w:hint="eastAsia" w:ascii="仿宋_GB2312"/>
          <w:szCs w:val="32"/>
          <w:u w:val="single"/>
          <w:lang w:val="en-US" w:eastAsia="zh-CN"/>
        </w:rPr>
        <w:t>7.78</w:t>
      </w:r>
      <w:r>
        <w:rPr>
          <w:rFonts w:hint="eastAsia" w:ascii="仿宋_GB2312"/>
          <w:szCs w:val="32"/>
          <w:u w:val="single"/>
        </w:rPr>
        <w:t xml:space="preserve"> %</w:t>
      </w:r>
      <w:r>
        <w:rPr>
          <w:rFonts w:hint="eastAsia" w:ascii="仿宋_GB2312"/>
          <w:szCs w:val="32"/>
        </w:rPr>
        <w:t>，主要原因是</w:t>
      </w:r>
      <w:r>
        <w:rPr>
          <w:rFonts w:hint="eastAsia" w:ascii="仿宋_GB2312"/>
          <w:szCs w:val="32"/>
          <w:lang w:eastAsia="zh-CN"/>
        </w:rPr>
        <w:t>人员变动</w:t>
      </w:r>
      <w:r>
        <w:rPr>
          <w:rFonts w:hint="eastAsia" w:ascii="仿宋_GB2312"/>
          <w:szCs w:val="32"/>
        </w:rPr>
        <w:t>。</w:t>
      </w:r>
    </w:p>
    <w:p>
      <w:pPr>
        <w:tabs>
          <w:tab w:val="center" w:pos="4475"/>
        </w:tabs>
        <w:spacing w:line="560" w:lineRule="exact"/>
        <w:ind w:firstLine="645"/>
        <w:rPr>
          <w:rFonts w:ascii="黑体" w:eastAsia="黑体"/>
          <w:szCs w:val="32"/>
        </w:rPr>
      </w:pPr>
      <w:r>
        <w:rPr>
          <w:rFonts w:hint="eastAsia" w:ascii="黑体" w:eastAsia="黑体"/>
          <w:szCs w:val="32"/>
        </w:rPr>
        <w:t>五、一般公共预算支出情况说明</w:t>
      </w:r>
    </w:p>
    <w:p>
      <w:pPr>
        <w:tabs>
          <w:tab w:val="center" w:pos="4475"/>
        </w:tabs>
        <w:spacing w:line="560" w:lineRule="exact"/>
        <w:ind w:firstLine="645"/>
        <w:rPr>
          <w:rFonts w:hint="eastAsia" w:ascii="仿宋_GB2312"/>
          <w:szCs w:val="32"/>
        </w:rPr>
      </w:pPr>
      <w:r>
        <w:rPr>
          <w:rFonts w:hint="eastAsia" w:ascii="仿宋_GB2312"/>
          <w:szCs w:val="32"/>
        </w:rPr>
        <w:t>我部门一般公共预算支出共</w:t>
      </w:r>
      <w:r>
        <w:rPr>
          <w:rFonts w:hint="eastAsia" w:eastAsia="仿宋_GB2312"/>
          <w:sz w:val="32"/>
          <w:szCs w:val="32"/>
          <w:u w:val="single"/>
        </w:rPr>
        <w:t>1030.10</w:t>
      </w:r>
      <w:r>
        <w:rPr>
          <w:rFonts w:hint="eastAsia" w:ascii="仿宋_GB2312"/>
          <w:szCs w:val="32"/>
        </w:rPr>
        <w:t>万元，较上年减少</w:t>
      </w:r>
      <w:r>
        <w:rPr>
          <w:rFonts w:hint="eastAsia" w:ascii="仿宋_GB2312"/>
          <w:szCs w:val="32"/>
          <w:u w:val="single"/>
          <w:lang w:val="en-US" w:eastAsia="zh-CN"/>
        </w:rPr>
        <w:t>7.78</w:t>
      </w:r>
      <w:r>
        <w:rPr>
          <w:rFonts w:hint="eastAsia" w:ascii="仿宋_GB2312"/>
          <w:szCs w:val="32"/>
          <w:u w:val="single"/>
        </w:rPr>
        <w:t xml:space="preserve"> %</w:t>
      </w:r>
      <w:r>
        <w:rPr>
          <w:rFonts w:hint="eastAsia" w:ascii="仿宋_GB2312"/>
          <w:szCs w:val="32"/>
        </w:rPr>
        <w:t>，主要原因是</w:t>
      </w:r>
      <w:r>
        <w:rPr>
          <w:rFonts w:hint="eastAsia" w:ascii="仿宋_GB2312"/>
          <w:szCs w:val="32"/>
          <w:lang w:eastAsia="zh-CN"/>
        </w:rPr>
        <w:t>人员变动</w:t>
      </w:r>
      <w:r>
        <w:rPr>
          <w:rFonts w:hint="eastAsia" w:ascii="仿宋_GB2312"/>
          <w:szCs w:val="32"/>
        </w:rPr>
        <w:t>。</w:t>
      </w:r>
    </w:p>
    <w:p>
      <w:pPr>
        <w:tabs>
          <w:tab w:val="center" w:pos="4475"/>
        </w:tabs>
        <w:spacing w:line="560" w:lineRule="exact"/>
        <w:ind w:firstLine="645"/>
        <w:rPr>
          <w:rFonts w:ascii="黑体" w:eastAsia="黑体"/>
          <w:szCs w:val="32"/>
        </w:rPr>
      </w:pPr>
      <w:r>
        <w:rPr>
          <w:rFonts w:hint="eastAsia" w:ascii="黑体" w:eastAsia="黑体"/>
          <w:szCs w:val="32"/>
        </w:rPr>
        <w:t>六、一般公共预算基本支出情况说明</w:t>
      </w:r>
    </w:p>
    <w:p>
      <w:pPr>
        <w:tabs>
          <w:tab w:val="center" w:pos="4475"/>
        </w:tabs>
        <w:spacing w:line="560" w:lineRule="exact"/>
        <w:ind w:firstLine="645"/>
        <w:rPr>
          <w:rFonts w:hint="eastAsia" w:ascii="仿宋_GB2312"/>
          <w:szCs w:val="32"/>
        </w:rPr>
      </w:pPr>
      <w:r>
        <w:rPr>
          <w:rFonts w:hint="eastAsia" w:ascii="仿宋_GB2312"/>
          <w:szCs w:val="32"/>
        </w:rPr>
        <w:t>我部门一般公共预算基本支出共</w:t>
      </w:r>
      <w:r>
        <w:rPr>
          <w:rFonts w:hint="eastAsia" w:ascii="仿宋_GB2312"/>
          <w:szCs w:val="32"/>
          <w:u w:val="single"/>
        </w:rPr>
        <w:t>957.35</w:t>
      </w:r>
      <w:r>
        <w:rPr>
          <w:rFonts w:hint="eastAsia" w:ascii="仿宋_GB2312"/>
          <w:szCs w:val="32"/>
        </w:rPr>
        <w:t>万元，较上年增长</w:t>
      </w:r>
      <w:r>
        <w:rPr>
          <w:rFonts w:hint="eastAsia" w:ascii="仿宋_GB2312"/>
          <w:szCs w:val="32"/>
          <w:u w:val="single"/>
          <w:lang w:val="en-US" w:eastAsia="zh-CN"/>
        </w:rPr>
        <w:t>20.56</w:t>
      </w:r>
      <w:r>
        <w:rPr>
          <w:rFonts w:hint="eastAsia" w:ascii="仿宋_GB2312"/>
          <w:szCs w:val="32"/>
          <w:u w:val="single"/>
        </w:rPr>
        <w:t>%</w:t>
      </w:r>
      <w:r>
        <w:rPr>
          <w:rFonts w:hint="eastAsia" w:ascii="仿宋_GB2312"/>
          <w:szCs w:val="32"/>
        </w:rPr>
        <w:t>，主要原因是</w:t>
      </w:r>
      <w:r>
        <w:rPr>
          <w:rFonts w:hint="eastAsia" w:ascii="仿宋_GB2312"/>
          <w:szCs w:val="32"/>
          <w:lang w:eastAsia="zh-CN"/>
        </w:rPr>
        <w:t>工资福利增加</w:t>
      </w:r>
      <w:r>
        <w:rPr>
          <w:rFonts w:hint="eastAsia" w:ascii="仿宋_GB2312"/>
          <w:szCs w:val="32"/>
        </w:rPr>
        <w:t>。具体情况为：</w:t>
      </w:r>
    </w:p>
    <w:p>
      <w:pPr>
        <w:tabs>
          <w:tab w:val="center" w:pos="4475"/>
        </w:tabs>
        <w:spacing w:line="560" w:lineRule="exact"/>
        <w:ind w:firstLine="645"/>
        <w:rPr>
          <w:rFonts w:hint="eastAsia" w:ascii="仿宋_GB2312" w:eastAsia="仿宋_GB2312"/>
          <w:szCs w:val="32"/>
          <w:u w:val="none"/>
          <w:lang w:val="en-US" w:eastAsia="zh-CN"/>
        </w:rPr>
      </w:pPr>
      <w:r>
        <w:rPr>
          <w:rFonts w:hint="eastAsia" w:ascii="仿宋_GB2312"/>
          <w:szCs w:val="32"/>
          <w:lang w:val="en-US" w:eastAsia="zh-CN"/>
        </w:rPr>
        <w:t>1.工资福利支出826.66万元，</w:t>
      </w:r>
      <w:r>
        <w:rPr>
          <w:rFonts w:hint="eastAsia" w:ascii="仿宋_GB2312"/>
          <w:szCs w:val="32"/>
        </w:rPr>
        <w:t>较上年增长</w:t>
      </w:r>
      <w:r>
        <w:rPr>
          <w:rFonts w:hint="eastAsia" w:ascii="仿宋_GB2312"/>
          <w:szCs w:val="32"/>
          <w:u w:val="single"/>
          <w:lang w:val="en-US" w:eastAsia="zh-CN"/>
        </w:rPr>
        <w:t>23.84</w:t>
      </w:r>
      <w:r>
        <w:rPr>
          <w:rFonts w:hint="eastAsia" w:ascii="仿宋_GB2312"/>
          <w:szCs w:val="32"/>
          <w:u w:val="single"/>
        </w:rPr>
        <w:t>%</w:t>
      </w:r>
      <w:r>
        <w:rPr>
          <w:rFonts w:hint="eastAsia" w:ascii="仿宋_GB2312"/>
          <w:szCs w:val="32"/>
          <w:u w:val="single"/>
          <w:lang w:eastAsia="zh-CN"/>
        </w:rPr>
        <w:t>。</w:t>
      </w:r>
    </w:p>
    <w:p>
      <w:pPr>
        <w:tabs>
          <w:tab w:val="center" w:pos="4475"/>
        </w:tabs>
        <w:spacing w:line="560" w:lineRule="exact"/>
        <w:ind w:firstLine="645"/>
        <w:rPr>
          <w:rFonts w:hint="eastAsia" w:ascii="仿宋_GB2312"/>
          <w:szCs w:val="32"/>
          <w:u w:val="single"/>
          <w:lang w:eastAsia="zh-CN"/>
        </w:rPr>
      </w:pPr>
      <w:r>
        <w:rPr>
          <w:rFonts w:hint="eastAsia" w:ascii="仿宋_GB2312"/>
          <w:szCs w:val="32"/>
          <w:u w:val="none"/>
          <w:lang w:val="en-US" w:eastAsia="zh-CN"/>
        </w:rPr>
        <w:t>2.商品和服务支出101.78万元，</w:t>
      </w:r>
      <w:r>
        <w:rPr>
          <w:rFonts w:hint="eastAsia" w:ascii="仿宋_GB2312"/>
          <w:szCs w:val="32"/>
        </w:rPr>
        <w:t>较上年</w:t>
      </w:r>
      <w:r>
        <w:rPr>
          <w:rFonts w:hint="eastAsia" w:ascii="仿宋_GB2312"/>
          <w:szCs w:val="32"/>
          <w:lang w:eastAsia="zh-CN"/>
        </w:rPr>
        <w:t>减少</w:t>
      </w:r>
      <w:r>
        <w:rPr>
          <w:rFonts w:hint="eastAsia" w:ascii="仿宋_GB2312"/>
          <w:szCs w:val="32"/>
          <w:u w:val="single"/>
          <w:lang w:val="en-US" w:eastAsia="zh-CN"/>
        </w:rPr>
        <w:t>3.2</w:t>
      </w:r>
      <w:r>
        <w:rPr>
          <w:rFonts w:hint="eastAsia" w:ascii="仿宋_GB2312"/>
          <w:szCs w:val="32"/>
          <w:u w:val="single"/>
        </w:rPr>
        <w:t>%</w:t>
      </w:r>
      <w:r>
        <w:rPr>
          <w:rFonts w:hint="eastAsia" w:ascii="仿宋_GB2312"/>
          <w:szCs w:val="32"/>
          <w:u w:val="single"/>
          <w:lang w:eastAsia="zh-CN"/>
        </w:rPr>
        <w:t>。</w:t>
      </w:r>
    </w:p>
    <w:p>
      <w:pPr>
        <w:tabs>
          <w:tab w:val="center" w:pos="4475"/>
        </w:tabs>
        <w:spacing w:line="560" w:lineRule="exact"/>
        <w:ind w:firstLine="645"/>
        <w:rPr>
          <w:rFonts w:hint="eastAsia" w:ascii="仿宋_GB2312" w:eastAsia="仿宋_GB2312"/>
          <w:szCs w:val="32"/>
          <w:u w:val="none"/>
          <w:lang w:val="en-US" w:eastAsia="zh-CN"/>
        </w:rPr>
      </w:pPr>
      <w:r>
        <w:rPr>
          <w:rFonts w:hint="eastAsia" w:ascii="仿宋_GB2312"/>
          <w:szCs w:val="32"/>
          <w:u w:val="none"/>
          <w:lang w:val="en-US" w:eastAsia="zh-CN"/>
        </w:rPr>
        <w:t>3.对个人和家庭的补助28.91万元，</w:t>
      </w:r>
      <w:r>
        <w:rPr>
          <w:rFonts w:hint="eastAsia" w:ascii="仿宋_GB2312"/>
          <w:szCs w:val="32"/>
        </w:rPr>
        <w:t>较上年增长</w:t>
      </w:r>
      <w:r>
        <w:rPr>
          <w:rFonts w:hint="eastAsia" w:ascii="仿宋_GB2312"/>
          <w:szCs w:val="32"/>
          <w:u w:val="single"/>
          <w:lang w:val="en-US" w:eastAsia="zh-CN"/>
        </w:rPr>
        <w:t>35.15</w:t>
      </w:r>
      <w:r>
        <w:rPr>
          <w:rFonts w:hint="eastAsia" w:ascii="仿宋_GB2312"/>
          <w:szCs w:val="32"/>
          <w:u w:val="single"/>
        </w:rPr>
        <w:t>%</w:t>
      </w:r>
      <w:r>
        <w:rPr>
          <w:rFonts w:hint="eastAsia" w:ascii="仿宋_GB2312"/>
          <w:szCs w:val="32"/>
          <w:u w:val="single"/>
          <w:lang w:eastAsia="zh-CN"/>
        </w:rPr>
        <w:t>。</w:t>
      </w:r>
    </w:p>
    <w:p>
      <w:pPr>
        <w:tabs>
          <w:tab w:val="center" w:pos="4475"/>
        </w:tabs>
        <w:spacing w:line="560" w:lineRule="exact"/>
        <w:ind w:firstLine="645"/>
        <w:rPr>
          <w:rFonts w:ascii="黑体" w:eastAsia="黑体"/>
          <w:szCs w:val="32"/>
        </w:rPr>
      </w:pPr>
      <w:r>
        <w:rPr>
          <w:rFonts w:hint="eastAsia" w:ascii="黑体" w:eastAsia="黑体"/>
          <w:szCs w:val="32"/>
        </w:rPr>
        <w:t>七、一般公共预算“三公”经费支出情况说明</w:t>
      </w:r>
    </w:p>
    <w:p>
      <w:pPr>
        <w:tabs>
          <w:tab w:val="center" w:pos="4475"/>
        </w:tabs>
        <w:spacing w:line="560" w:lineRule="exact"/>
        <w:ind w:firstLine="645"/>
        <w:rPr>
          <w:rFonts w:ascii="仿宋_GB2312" w:hAnsi="宋体"/>
          <w:szCs w:val="32"/>
        </w:rPr>
      </w:pPr>
      <w:r>
        <w:rPr>
          <w:rFonts w:hint="eastAsia" w:ascii="仿宋_GB2312" w:hAnsi="宋体"/>
          <w:szCs w:val="32"/>
        </w:rPr>
        <w:t>我部门</w:t>
      </w:r>
      <w:r>
        <w:rPr>
          <w:rFonts w:hint="eastAsia" w:ascii="仿宋_GB2312"/>
        </w:rPr>
        <w:t>2024年一般公共预算</w:t>
      </w:r>
      <w:r>
        <w:rPr>
          <w:rFonts w:hint="eastAsia" w:ascii="仿宋_GB2312"/>
          <w:bCs/>
        </w:rPr>
        <w:t>安排的“三公”经费支出预算</w:t>
      </w:r>
      <w:r>
        <w:rPr>
          <w:rFonts w:hint="eastAsia" w:eastAsia="仿宋_GB2312"/>
          <w:sz w:val="32"/>
          <w:szCs w:val="32"/>
          <w:u w:val="single"/>
        </w:rPr>
        <w:t>20.494</w:t>
      </w:r>
      <w:r>
        <w:rPr>
          <w:rFonts w:hint="eastAsia" w:ascii="仿宋_GB2312"/>
          <w:bCs/>
        </w:rPr>
        <w:t>万元，同口径比2023年减少</w:t>
      </w:r>
      <w:r>
        <w:rPr>
          <w:rFonts w:hint="eastAsia" w:ascii="仿宋_GB2312"/>
          <w:bCs/>
          <w:lang w:val="en-US" w:eastAsia="zh-CN"/>
        </w:rPr>
        <w:t>5.126</w:t>
      </w:r>
      <w:r>
        <w:rPr>
          <w:rFonts w:hint="eastAsia" w:ascii="仿宋_GB2312"/>
          <w:bCs/>
        </w:rPr>
        <w:t>万元，下降</w:t>
      </w:r>
      <w:r>
        <w:rPr>
          <w:rFonts w:hint="eastAsia" w:ascii="仿宋_GB2312"/>
          <w:bCs/>
          <w:lang w:val="en-US" w:eastAsia="zh-CN"/>
        </w:rPr>
        <w:t>20</w:t>
      </w:r>
      <w:r>
        <w:rPr>
          <w:rFonts w:hint="eastAsia" w:ascii="仿宋_GB2312"/>
          <w:bCs/>
        </w:rPr>
        <w:t>%，具体如下：</w:t>
      </w:r>
    </w:p>
    <w:p>
      <w:pPr>
        <w:tabs>
          <w:tab w:val="center" w:pos="4475"/>
        </w:tabs>
        <w:spacing w:line="560" w:lineRule="exact"/>
        <w:ind w:firstLine="645"/>
        <w:rPr>
          <w:rFonts w:ascii="仿宋_GB2312" w:hAnsi="Arial" w:cs="Arial"/>
          <w:kern w:val="0"/>
        </w:rPr>
      </w:pPr>
      <w:r>
        <w:rPr>
          <w:rFonts w:hint="eastAsia" w:ascii="仿宋_GB2312"/>
        </w:rPr>
        <w:t>1.因公出国（境）费</w:t>
      </w:r>
      <w:r>
        <w:rPr>
          <w:rFonts w:hint="eastAsia" w:ascii="仿宋_GB2312" w:hAnsi="宋体"/>
          <w:szCs w:val="32"/>
        </w:rPr>
        <w:t>2024年预算安排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hAnsi="宋体"/>
          <w:szCs w:val="32"/>
          <w:lang w:eastAsia="zh-CN"/>
        </w:rPr>
        <w:t>与上年持平</w:t>
      </w:r>
      <w:r>
        <w:rPr>
          <w:rFonts w:hint="eastAsia" w:ascii="仿宋_GB2312" w:hAnsi="Arial" w:cs="Arial"/>
          <w:kern w:val="0"/>
        </w:rPr>
        <w:t>。</w:t>
      </w:r>
    </w:p>
    <w:p>
      <w:pPr>
        <w:tabs>
          <w:tab w:val="center" w:pos="4475"/>
        </w:tabs>
        <w:spacing w:line="560" w:lineRule="exact"/>
        <w:ind w:firstLine="645"/>
        <w:rPr>
          <w:rFonts w:ascii="仿宋_GB2312" w:hAnsi="Arial" w:cs="Arial"/>
          <w:kern w:val="0"/>
        </w:rPr>
      </w:pPr>
      <w:r>
        <w:rPr>
          <w:rFonts w:hint="eastAsia" w:ascii="仿宋_GB2312"/>
        </w:rPr>
        <w:t>2.公务接待费</w:t>
      </w:r>
      <w:r>
        <w:rPr>
          <w:rFonts w:hint="eastAsia" w:ascii="仿宋_GB2312" w:hAnsi="宋体"/>
          <w:szCs w:val="32"/>
        </w:rPr>
        <w:t>2024年预算安排</w:t>
      </w:r>
      <w:r>
        <w:rPr>
          <w:rFonts w:hint="eastAsia" w:eastAsia="仿宋_GB2312"/>
          <w:sz w:val="32"/>
          <w:szCs w:val="32"/>
          <w:u w:val="single"/>
        </w:rPr>
        <w:t>3.10</w:t>
      </w:r>
      <w:r>
        <w:rPr>
          <w:rFonts w:hint="eastAsia" w:ascii="仿宋_GB2312" w:hAnsi="宋体"/>
          <w:szCs w:val="32"/>
        </w:rPr>
        <w:t>万元，比上年减少</w:t>
      </w:r>
      <w:r>
        <w:rPr>
          <w:rFonts w:hint="eastAsia" w:ascii="仿宋_GB2312" w:hAnsi="宋体"/>
          <w:szCs w:val="32"/>
          <w:lang w:val="en-US" w:eastAsia="zh-CN"/>
        </w:rPr>
        <w:t>0.78</w:t>
      </w:r>
      <w:r>
        <w:rPr>
          <w:rFonts w:hint="eastAsia" w:ascii="仿宋_GB2312" w:hAnsi="宋体"/>
          <w:szCs w:val="32"/>
        </w:rPr>
        <w:t>万元，下降</w:t>
      </w:r>
      <w:r>
        <w:rPr>
          <w:rFonts w:hint="eastAsia" w:ascii="仿宋_GB2312" w:hAnsi="宋体"/>
          <w:szCs w:val="32"/>
          <w:lang w:val="en-US" w:eastAsia="zh-CN"/>
        </w:rPr>
        <w:t>20.1</w:t>
      </w:r>
      <w:r>
        <w:rPr>
          <w:rFonts w:hint="eastAsia" w:ascii="仿宋_GB2312" w:hAnsi="宋体"/>
          <w:szCs w:val="32"/>
        </w:rPr>
        <w:t>%，</w:t>
      </w:r>
      <w:r>
        <w:rPr>
          <w:rFonts w:hint="eastAsia" w:ascii="仿宋_GB2312" w:hAnsi="Arial" w:cs="Arial"/>
          <w:kern w:val="0"/>
        </w:rPr>
        <w:t>减少的主要原因是</w:t>
      </w:r>
      <w:r>
        <w:rPr>
          <w:rFonts w:hint="eastAsia" w:ascii="仿宋_GB2312" w:hAnsi="Arial" w:cs="Arial"/>
          <w:kern w:val="0"/>
          <w:lang w:eastAsia="zh-CN"/>
        </w:rPr>
        <w:t>严格落实过紧日子的要求</w:t>
      </w:r>
      <w:r>
        <w:rPr>
          <w:rFonts w:hint="eastAsia" w:ascii="仿宋_GB2312" w:hAnsi="Arial" w:cs="Arial"/>
          <w:kern w:val="0"/>
        </w:rPr>
        <w:t>。</w:t>
      </w:r>
    </w:p>
    <w:p>
      <w:pPr>
        <w:tabs>
          <w:tab w:val="center" w:pos="4475"/>
        </w:tabs>
        <w:spacing w:line="560" w:lineRule="exact"/>
        <w:ind w:firstLine="645"/>
        <w:rPr>
          <w:rFonts w:ascii="仿宋_GB2312" w:hAnsi="宋体"/>
          <w:szCs w:val="32"/>
        </w:rPr>
      </w:pPr>
      <w:r>
        <w:rPr>
          <w:rFonts w:hint="eastAsia" w:ascii="仿宋_GB2312"/>
        </w:rPr>
        <w:t>3.公务用车购置及运行费</w:t>
      </w:r>
      <w:r>
        <w:rPr>
          <w:rFonts w:hint="eastAsia" w:ascii="仿宋_GB2312" w:hAnsi="宋体"/>
          <w:szCs w:val="32"/>
        </w:rPr>
        <w:t>2024年预算安排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hAnsi="宋体"/>
          <w:szCs w:val="32"/>
          <w:lang w:eastAsia="zh-CN"/>
        </w:rPr>
        <w:t>与上年持平。</w:t>
      </w:r>
    </w:p>
    <w:p>
      <w:pPr>
        <w:tabs>
          <w:tab w:val="center" w:pos="4475"/>
        </w:tabs>
        <w:spacing w:line="560" w:lineRule="exact"/>
        <w:ind w:firstLine="645"/>
        <w:rPr>
          <w:rFonts w:ascii="仿宋_GB2312" w:hAnsi="宋体"/>
          <w:szCs w:val="32"/>
        </w:rPr>
      </w:pPr>
      <w:r>
        <w:rPr>
          <w:rFonts w:hint="eastAsia" w:ascii="仿宋_GB2312" w:hAnsi="宋体"/>
          <w:szCs w:val="32"/>
        </w:rPr>
        <w:t>公务用车运行维护费2024年预算安排</w:t>
      </w:r>
      <w:r>
        <w:rPr>
          <w:rFonts w:hint="eastAsia" w:eastAsia="仿宋_GB2312"/>
          <w:sz w:val="32"/>
          <w:szCs w:val="32"/>
          <w:u w:val="single"/>
        </w:rPr>
        <w:t>15.16</w:t>
      </w:r>
      <w:r>
        <w:rPr>
          <w:rFonts w:hint="eastAsia" w:ascii="仿宋_GB2312" w:hAnsi="宋体"/>
          <w:szCs w:val="32"/>
        </w:rPr>
        <w:t>万元，比上年减少</w:t>
      </w:r>
      <w:r>
        <w:rPr>
          <w:rFonts w:hint="eastAsia" w:ascii="仿宋_GB2312" w:hAnsi="宋体"/>
          <w:szCs w:val="32"/>
          <w:u w:val="single"/>
          <w:lang w:val="en-US" w:eastAsia="zh-CN"/>
        </w:rPr>
        <w:t>3.79</w:t>
      </w:r>
      <w:r>
        <w:rPr>
          <w:rFonts w:hint="eastAsia" w:ascii="仿宋_GB2312" w:hAnsi="宋体"/>
          <w:szCs w:val="32"/>
        </w:rPr>
        <w:t>万元，下降</w:t>
      </w:r>
      <w:r>
        <w:rPr>
          <w:rFonts w:hint="eastAsia" w:ascii="仿宋_GB2312" w:hAnsi="宋体"/>
          <w:szCs w:val="32"/>
          <w:u w:val="single"/>
          <w:lang w:val="en-US" w:eastAsia="zh-CN"/>
        </w:rPr>
        <w:t>20</w:t>
      </w:r>
      <w:r>
        <w:rPr>
          <w:rFonts w:hint="eastAsia" w:ascii="仿宋_GB2312" w:hAnsi="宋体"/>
          <w:szCs w:val="32"/>
          <w:u w:val="single"/>
        </w:rPr>
        <w:t>%</w:t>
      </w:r>
      <w:r>
        <w:rPr>
          <w:rFonts w:hint="eastAsia" w:ascii="仿宋_GB2312" w:hAnsi="宋体"/>
          <w:szCs w:val="32"/>
        </w:rPr>
        <w:t>，</w:t>
      </w:r>
      <w:r>
        <w:rPr>
          <w:rFonts w:hint="eastAsia" w:ascii="仿宋_GB2312" w:hAnsi="Arial" w:cs="Arial"/>
          <w:kern w:val="0"/>
        </w:rPr>
        <w:t>减少的主要原因是</w:t>
      </w:r>
      <w:r>
        <w:rPr>
          <w:rFonts w:hint="eastAsia" w:ascii="仿宋_GB2312" w:hAnsi="Arial" w:cs="Arial"/>
          <w:kern w:val="0"/>
          <w:lang w:eastAsia="zh-CN"/>
        </w:rPr>
        <w:t>严格落实过紧日子的要求</w:t>
      </w:r>
      <w:r>
        <w:rPr>
          <w:rFonts w:hint="eastAsia" w:ascii="仿宋_GB2312" w:hAnsi="Arial" w:cs="Arial"/>
          <w:kern w:val="0"/>
        </w:rPr>
        <w:t>。</w:t>
      </w:r>
    </w:p>
    <w:p>
      <w:pPr>
        <w:tabs>
          <w:tab w:val="center" w:pos="4475"/>
        </w:tabs>
        <w:spacing w:line="560" w:lineRule="exact"/>
        <w:ind w:firstLine="645"/>
        <w:rPr>
          <w:rFonts w:ascii="黑体" w:eastAsia="黑体"/>
          <w:szCs w:val="32"/>
        </w:rPr>
      </w:pPr>
      <w:r>
        <w:rPr>
          <w:rFonts w:hint="eastAsia" w:ascii="黑体" w:eastAsia="黑体"/>
          <w:szCs w:val="32"/>
        </w:rPr>
        <w:t>八、政府性基金预算支出情况说明</w:t>
      </w:r>
    </w:p>
    <w:p>
      <w:pPr>
        <w:tabs>
          <w:tab w:val="center" w:pos="4475"/>
        </w:tabs>
        <w:spacing w:line="560" w:lineRule="exact"/>
        <w:ind w:firstLine="645"/>
        <w:rPr>
          <w:rFonts w:ascii="黑体" w:eastAsia="黑体"/>
          <w:szCs w:val="32"/>
          <w:highlight w:val="yellow"/>
        </w:rPr>
      </w:pPr>
      <w:r>
        <w:rPr>
          <w:rFonts w:hint="eastAsia" w:ascii="仿宋_GB2312"/>
          <w:szCs w:val="32"/>
        </w:rPr>
        <w:t>我部门政府性基金预算支出共</w:t>
      </w:r>
      <w:r>
        <w:rPr>
          <w:rFonts w:hint="eastAsia" w:ascii="仿宋_GB2312"/>
          <w:szCs w:val="32"/>
          <w:u w:val="single"/>
          <w:lang w:val="en-US" w:eastAsia="zh-CN"/>
        </w:rPr>
        <w:t>3.08</w:t>
      </w:r>
      <w:r>
        <w:rPr>
          <w:rFonts w:hint="eastAsia" w:ascii="仿宋_GB2312"/>
          <w:szCs w:val="32"/>
        </w:rPr>
        <w:t>万元，较上年减少</w:t>
      </w:r>
      <w:r>
        <w:rPr>
          <w:rFonts w:hint="eastAsia" w:ascii="仿宋_GB2312"/>
          <w:szCs w:val="32"/>
          <w:u w:val="single"/>
          <w:lang w:val="en-US" w:eastAsia="zh-CN"/>
        </w:rPr>
        <w:t>30</w:t>
      </w:r>
      <w:r>
        <w:rPr>
          <w:rFonts w:hint="eastAsia" w:ascii="仿宋_GB2312"/>
          <w:szCs w:val="32"/>
          <w:u w:val="single"/>
        </w:rPr>
        <w:t>%</w:t>
      </w:r>
      <w:r>
        <w:rPr>
          <w:rFonts w:hint="eastAsia" w:ascii="仿宋_GB2312"/>
          <w:szCs w:val="32"/>
        </w:rPr>
        <w:t>，主要原因是</w:t>
      </w:r>
      <w:r>
        <w:rPr>
          <w:rFonts w:hint="eastAsia" w:ascii="仿宋_GB2312"/>
          <w:szCs w:val="32"/>
          <w:lang w:eastAsia="zh-CN"/>
        </w:rPr>
        <w:t>支出科目减少</w:t>
      </w:r>
      <w:r>
        <w:rPr>
          <w:rFonts w:hint="eastAsia" w:ascii="仿宋_GB2312"/>
          <w:szCs w:val="32"/>
        </w:rPr>
        <w:t>。</w:t>
      </w:r>
    </w:p>
    <w:p>
      <w:pPr>
        <w:tabs>
          <w:tab w:val="center" w:pos="4475"/>
        </w:tabs>
        <w:spacing w:line="560" w:lineRule="exact"/>
        <w:ind w:firstLine="645"/>
        <w:rPr>
          <w:rFonts w:ascii="黑体" w:eastAsia="黑体"/>
          <w:szCs w:val="32"/>
          <w:highlight w:val="yellow"/>
        </w:rPr>
      </w:pPr>
      <w:r>
        <w:rPr>
          <w:rFonts w:hint="eastAsia" w:ascii="黑体" w:eastAsia="黑体"/>
          <w:szCs w:val="32"/>
        </w:rPr>
        <w:t>九、国有资本经营预算支出情况说明</w:t>
      </w:r>
    </w:p>
    <w:p>
      <w:pPr>
        <w:tabs>
          <w:tab w:val="center" w:pos="4475"/>
        </w:tabs>
        <w:spacing w:line="560" w:lineRule="exact"/>
        <w:ind w:firstLine="645"/>
        <w:rPr>
          <w:rFonts w:ascii="仿宋_GB2312" w:hAnsi="宋体"/>
          <w:b w:val="0"/>
          <w:bCs w:val="0"/>
          <w:szCs w:val="32"/>
          <w:u w:val="none"/>
        </w:rPr>
      </w:pPr>
      <w:r>
        <w:rPr>
          <w:rFonts w:hint="eastAsia" w:ascii="仿宋_GB2312" w:hAnsi="宋体"/>
          <w:b w:val="0"/>
          <w:bCs w:val="0"/>
          <w:szCs w:val="32"/>
          <w:u w:val="none"/>
        </w:rPr>
        <w:t>我部门2024年部门预算无国有资本经营预算。</w:t>
      </w:r>
    </w:p>
    <w:p>
      <w:pPr>
        <w:tabs>
          <w:tab w:val="center" w:pos="4475"/>
        </w:tabs>
        <w:spacing w:line="560" w:lineRule="exact"/>
        <w:ind w:firstLine="645"/>
        <w:rPr>
          <w:rFonts w:ascii="黑体" w:eastAsia="黑体"/>
          <w:szCs w:val="32"/>
        </w:rPr>
      </w:pPr>
      <w:r>
        <w:rPr>
          <w:rFonts w:hint="eastAsia" w:ascii="黑体" w:eastAsia="黑体"/>
          <w:szCs w:val="32"/>
        </w:rPr>
        <w:t>十、其他重要事项情况说明</w:t>
      </w:r>
    </w:p>
    <w:p>
      <w:pPr>
        <w:tabs>
          <w:tab w:val="center" w:pos="4475"/>
        </w:tabs>
        <w:spacing w:line="560" w:lineRule="exact"/>
        <w:ind w:firstLine="645"/>
        <w:rPr>
          <w:rFonts w:ascii="楷体_GB2312" w:hAnsi="楷体_GB2312" w:eastAsia="楷体_GB2312" w:cs="楷体_GB2312"/>
          <w:szCs w:val="32"/>
        </w:rPr>
      </w:pPr>
      <w:r>
        <w:rPr>
          <w:rFonts w:hint="eastAsia" w:ascii="楷体_GB2312" w:hAnsi="楷体_GB2312" w:eastAsia="楷体_GB2312" w:cs="楷体_GB2312"/>
          <w:szCs w:val="32"/>
        </w:rPr>
        <w:t>（一）机关运行经费安排情况说明</w:t>
      </w:r>
    </w:p>
    <w:p>
      <w:pPr>
        <w:tabs>
          <w:tab w:val="center" w:pos="4475"/>
        </w:tabs>
        <w:spacing w:line="560" w:lineRule="exact"/>
        <w:ind w:firstLine="645"/>
        <w:rPr>
          <w:rFonts w:hint="eastAsia" w:ascii="仿宋_GB2312" w:hAnsi="宋体"/>
          <w:szCs w:val="32"/>
          <w:u w:val="none"/>
        </w:rPr>
      </w:pPr>
      <w:r>
        <w:rPr>
          <w:rFonts w:hint="eastAsia" w:ascii="仿宋_GB2312" w:hAnsi="宋体"/>
          <w:szCs w:val="32"/>
          <w:u w:val="none"/>
        </w:rPr>
        <w:t>机关运行经费</w:t>
      </w:r>
      <w:r>
        <w:rPr>
          <w:rFonts w:hint="eastAsia" w:ascii="仿宋_GB2312" w:hAnsi="宋体"/>
          <w:szCs w:val="32"/>
          <w:u w:val="single"/>
        </w:rPr>
        <w:t>101.78</w:t>
      </w:r>
      <w:r>
        <w:rPr>
          <w:rFonts w:hint="eastAsia" w:ascii="仿宋_GB2312" w:hAnsi="宋体"/>
          <w:szCs w:val="32"/>
          <w:u w:val="single"/>
          <w:lang w:eastAsia="zh-CN"/>
        </w:rPr>
        <w:t>万元</w:t>
      </w:r>
      <w:r>
        <w:rPr>
          <w:rFonts w:hint="eastAsia" w:ascii="仿宋_GB2312" w:hAnsi="宋体"/>
          <w:szCs w:val="32"/>
          <w:u w:val="none"/>
          <w:lang w:eastAsia="zh-CN"/>
        </w:rPr>
        <w:t>，</w:t>
      </w:r>
      <w:r>
        <w:rPr>
          <w:rFonts w:hint="eastAsia" w:ascii="仿宋_GB2312"/>
          <w:szCs w:val="32"/>
        </w:rPr>
        <w:t>较上年</w:t>
      </w:r>
      <w:r>
        <w:rPr>
          <w:rFonts w:hint="eastAsia" w:ascii="仿宋_GB2312"/>
          <w:szCs w:val="32"/>
          <w:lang w:eastAsia="zh-CN"/>
        </w:rPr>
        <w:t>减少</w:t>
      </w:r>
      <w:r>
        <w:rPr>
          <w:rFonts w:hint="eastAsia" w:ascii="仿宋_GB2312"/>
          <w:szCs w:val="32"/>
          <w:u w:val="single"/>
          <w:lang w:val="en-US" w:eastAsia="zh-CN"/>
        </w:rPr>
        <w:t>3.2</w:t>
      </w:r>
      <w:r>
        <w:rPr>
          <w:rFonts w:hint="eastAsia" w:ascii="仿宋_GB2312"/>
          <w:szCs w:val="32"/>
          <w:u w:val="single"/>
        </w:rPr>
        <w:t>%</w:t>
      </w:r>
      <w:r>
        <w:rPr>
          <w:rFonts w:hint="eastAsia" w:ascii="仿宋_GB2312"/>
          <w:szCs w:val="32"/>
          <w:u w:val="single"/>
          <w:lang w:eastAsia="zh-CN"/>
        </w:rPr>
        <w:t>。</w:t>
      </w:r>
      <w:r>
        <w:rPr>
          <w:rFonts w:hint="eastAsia" w:ascii="仿宋_GB2312" w:hAnsi="宋体"/>
          <w:szCs w:val="32"/>
          <w:u w:val="none"/>
        </w:rPr>
        <w:t>用于购买货物和服务的各项资金，包括办公及印刷费、邮电费、差旅费、会议费、福利费、日常维修费、专用材料及一般设备购置费、办公用房水电费、办公用房取暖费、办公用房物业管理费、公务用车运行维护费以及其他费用。对相关经费的安排情况，增减变动等进行适当说明。</w:t>
      </w:r>
    </w:p>
    <w:p>
      <w:pPr>
        <w:tabs>
          <w:tab w:val="center" w:pos="4475"/>
        </w:tabs>
        <w:spacing w:line="560" w:lineRule="exact"/>
        <w:ind w:firstLine="645"/>
        <w:rPr>
          <w:rFonts w:ascii="楷体_GB2312" w:hAnsi="楷体_GB2312" w:eastAsia="楷体_GB2312" w:cs="楷体_GB2312"/>
          <w:kern w:val="0"/>
        </w:rPr>
      </w:pPr>
      <w:r>
        <w:rPr>
          <w:rFonts w:hint="eastAsia" w:ascii="楷体_GB2312" w:hAnsi="楷体_GB2312" w:eastAsia="楷体_GB2312" w:cs="楷体_GB2312"/>
          <w:szCs w:val="32"/>
        </w:rPr>
        <w:t>（二）</w:t>
      </w:r>
      <w:r>
        <w:rPr>
          <w:rFonts w:hint="eastAsia" w:ascii="楷体_GB2312" w:hAnsi="楷体_GB2312" w:eastAsia="楷体_GB2312" w:cs="楷体_GB2312"/>
          <w:kern w:val="0"/>
        </w:rPr>
        <w:t>政府采购预算安排情况说明</w:t>
      </w:r>
    </w:p>
    <w:p>
      <w:pPr>
        <w:tabs>
          <w:tab w:val="center" w:pos="4475"/>
        </w:tabs>
        <w:spacing w:line="560" w:lineRule="exact"/>
        <w:ind w:firstLine="645"/>
        <w:rPr>
          <w:rFonts w:hint="eastAsia" w:ascii="仿宋_GB2312" w:hAnsi="宋体" w:eastAsia="仿宋_GB2312"/>
          <w:b w:val="0"/>
          <w:bCs w:val="0"/>
          <w:szCs w:val="32"/>
          <w:u w:val="none"/>
          <w:lang w:eastAsia="zh-CN"/>
        </w:rPr>
      </w:pPr>
      <w:r>
        <w:rPr>
          <w:rFonts w:hint="eastAsia" w:ascii="仿宋_GB2312" w:hAnsi="宋体"/>
          <w:b w:val="0"/>
          <w:bCs w:val="0"/>
          <w:szCs w:val="32"/>
          <w:u w:val="none"/>
        </w:rPr>
        <w:t>我单位2024年部门预算无政府采购预算</w:t>
      </w:r>
      <w:r>
        <w:rPr>
          <w:rFonts w:hint="eastAsia" w:ascii="仿宋_GB2312" w:hAnsi="宋体"/>
          <w:b w:val="0"/>
          <w:bCs w:val="0"/>
          <w:szCs w:val="32"/>
          <w:u w:val="none"/>
          <w:lang w:eastAsia="zh-CN"/>
        </w:rPr>
        <w:t>。</w:t>
      </w:r>
    </w:p>
    <w:p>
      <w:pPr>
        <w:tabs>
          <w:tab w:val="center" w:pos="4475"/>
        </w:tabs>
        <w:spacing w:line="560" w:lineRule="exact"/>
        <w:ind w:firstLine="645"/>
        <w:rPr>
          <w:rFonts w:ascii="楷体_GB2312" w:hAnsi="楷体_GB2312" w:eastAsia="楷体_GB2312" w:cs="楷体_GB2312"/>
          <w:kern w:val="0"/>
        </w:rPr>
      </w:pPr>
      <w:r>
        <w:rPr>
          <w:rFonts w:hint="eastAsia" w:ascii="楷体_GB2312" w:hAnsi="楷体_GB2312" w:eastAsia="楷体_GB2312" w:cs="楷体_GB2312"/>
          <w:kern w:val="0"/>
        </w:rPr>
        <w:t>（三）国有资产占用情况说明</w:t>
      </w:r>
    </w:p>
    <w:p>
      <w:pPr>
        <w:tabs>
          <w:tab w:val="center" w:pos="4475"/>
        </w:tabs>
        <w:spacing w:line="560" w:lineRule="exact"/>
        <w:ind w:firstLine="645"/>
        <w:rPr>
          <w:rFonts w:ascii="黑体" w:hAnsi="Arial" w:eastAsia="黑体" w:cs="Arial"/>
          <w:b w:val="0"/>
          <w:bCs w:val="0"/>
          <w:kern w:val="0"/>
          <w:u w:val="none"/>
        </w:rPr>
      </w:pPr>
      <w:r>
        <w:rPr>
          <w:rFonts w:hint="eastAsia" w:ascii="仿宋_GB2312" w:hAnsi="宋体"/>
          <w:b w:val="0"/>
          <w:bCs w:val="0"/>
          <w:szCs w:val="32"/>
          <w:u w:val="none"/>
        </w:rPr>
        <w:t>我部门2024年无国有资产占用相关情况。</w:t>
      </w:r>
    </w:p>
    <w:p>
      <w:pPr>
        <w:tabs>
          <w:tab w:val="center" w:pos="4475"/>
        </w:tabs>
        <w:spacing w:line="560" w:lineRule="exact"/>
        <w:ind w:firstLine="645"/>
        <w:rPr>
          <w:rFonts w:ascii="楷体_GB2312" w:hAnsi="楷体_GB2312" w:eastAsia="楷体_GB2312" w:cs="楷体_GB2312"/>
          <w:szCs w:val="32"/>
        </w:rPr>
      </w:pPr>
      <w:r>
        <w:rPr>
          <w:rFonts w:hint="eastAsia" w:ascii="楷体_GB2312" w:hAnsi="楷体_GB2312" w:eastAsia="楷体_GB2312" w:cs="楷体_GB2312"/>
          <w:szCs w:val="32"/>
        </w:rPr>
        <w:t>（四）预算绩效目标情况说明</w:t>
      </w:r>
    </w:p>
    <w:p>
      <w:pPr>
        <w:tabs>
          <w:tab w:val="center" w:pos="4475"/>
        </w:tabs>
        <w:spacing w:line="560" w:lineRule="exact"/>
        <w:ind w:firstLine="645"/>
        <w:rPr>
          <w:rFonts w:hint="default" w:ascii="仿宋_GB2312" w:eastAsia="仿宋_GB2312"/>
          <w:szCs w:val="32"/>
          <w:lang w:val="en-US" w:eastAsia="zh-CN"/>
        </w:rPr>
      </w:pPr>
      <w:r>
        <w:rPr>
          <w:rFonts w:hint="eastAsia" w:ascii="仿宋_GB2312"/>
          <w:szCs w:val="32"/>
          <w:lang w:val="en-US" w:eastAsia="zh-CN"/>
        </w:rPr>
        <w:t>1.</w:t>
      </w:r>
      <w:r>
        <w:rPr>
          <w:rFonts w:hint="eastAsia" w:ascii="仿宋_GB2312"/>
          <w:szCs w:val="32"/>
        </w:rPr>
        <w:t>我部门2024年所有项目支出全面实施绩效目标管理，涉及市本级项目</w:t>
      </w:r>
      <w:r>
        <w:rPr>
          <w:rFonts w:hint="eastAsia" w:ascii="仿宋_GB2312"/>
          <w:szCs w:val="32"/>
          <w:lang w:val="en-US" w:eastAsia="zh-CN"/>
        </w:rPr>
        <w:t>4</w:t>
      </w:r>
      <w:r>
        <w:rPr>
          <w:rFonts w:hint="eastAsia" w:ascii="仿宋_GB2312"/>
          <w:szCs w:val="32"/>
        </w:rPr>
        <w:t>个</w:t>
      </w:r>
      <w:r>
        <w:rPr>
          <w:rFonts w:hint="eastAsia" w:ascii="仿宋_GB2312"/>
          <w:szCs w:val="32"/>
          <w:lang w:eastAsia="zh-CN"/>
        </w:rPr>
        <w:t>，</w:t>
      </w:r>
      <w:r>
        <w:rPr>
          <w:rFonts w:hint="eastAsia" w:ascii="仿宋_GB2312"/>
          <w:szCs w:val="32"/>
        </w:rPr>
        <w:t>预算资金</w:t>
      </w:r>
      <w:r>
        <w:rPr>
          <w:rFonts w:hint="eastAsia" w:ascii="仿宋_GB2312"/>
          <w:szCs w:val="32"/>
          <w:lang w:val="en-US" w:eastAsia="zh-CN"/>
        </w:rPr>
        <w:t>41.15</w:t>
      </w:r>
      <w:r>
        <w:rPr>
          <w:rFonts w:hint="eastAsia" w:ascii="仿宋_GB2312"/>
          <w:szCs w:val="32"/>
        </w:rPr>
        <w:t>万元；</w:t>
      </w:r>
      <w:r>
        <w:rPr>
          <w:rFonts w:hint="eastAsia" w:ascii="仿宋_GB2312"/>
          <w:szCs w:val="32"/>
          <w:lang w:eastAsia="zh-CN"/>
        </w:rPr>
        <w:t>预算目标情况详见预算公开报表</w:t>
      </w:r>
      <w:r>
        <w:rPr>
          <w:rFonts w:hint="eastAsia" w:ascii="仿宋_GB2312"/>
          <w:szCs w:val="32"/>
          <w:lang w:val="en-US" w:eastAsia="zh-CN"/>
        </w:rPr>
        <w:t>-表13。</w:t>
      </w:r>
    </w:p>
    <w:p>
      <w:pPr>
        <w:tabs>
          <w:tab w:val="center" w:pos="4475"/>
        </w:tabs>
        <w:spacing w:line="560" w:lineRule="exact"/>
        <w:ind w:firstLine="645"/>
        <w:rPr>
          <w:rFonts w:ascii="仿宋_GB2312"/>
          <w:szCs w:val="32"/>
        </w:rPr>
      </w:pPr>
      <w:r>
        <w:rPr>
          <w:rFonts w:hint="eastAsia" w:ascii="仿宋_GB2312"/>
          <w:szCs w:val="32"/>
        </w:rPr>
        <w:t>2.重点项目预算绩效目标说明。</w:t>
      </w:r>
    </w:p>
    <w:p>
      <w:pPr>
        <w:tabs>
          <w:tab w:val="center" w:pos="4475"/>
        </w:tabs>
        <w:spacing w:line="560" w:lineRule="exact"/>
        <w:ind w:firstLine="645"/>
        <w:rPr>
          <w:rFonts w:ascii="仿宋_GB2312" w:hAnsi="宋体"/>
          <w:szCs w:val="32"/>
        </w:rPr>
      </w:pPr>
      <w:r>
        <w:rPr>
          <w:rFonts w:hint="eastAsia" w:ascii="仿宋_GB2312" w:hAnsi="宋体"/>
          <w:szCs w:val="32"/>
        </w:rPr>
        <w:t>重点项目：项目名称</w:t>
      </w:r>
      <w:r>
        <w:rPr>
          <w:rFonts w:hint="eastAsia" w:ascii="仿宋_GB2312" w:hAnsi="宋体"/>
          <w:szCs w:val="32"/>
          <w:lang w:val="en-US" w:eastAsia="zh-CN"/>
        </w:rPr>
        <w:t>--水电费</w:t>
      </w:r>
      <w:r>
        <w:rPr>
          <w:rFonts w:hint="eastAsia" w:ascii="仿宋_GB2312" w:hAnsi="宋体"/>
          <w:szCs w:val="32"/>
        </w:rPr>
        <w:t>，预算资金</w:t>
      </w:r>
      <w:r>
        <w:rPr>
          <w:rFonts w:hint="eastAsia" w:ascii="仿宋_GB2312" w:hAnsi="宋体"/>
          <w:szCs w:val="32"/>
          <w:lang w:val="en-US" w:eastAsia="zh-CN"/>
        </w:rPr>
        <w:t>18</w:t>
      </w:r>
      <w:r>
        <w:rPr>
          <w:rFonts w:hint="eastAsia" w:ascii="仿宋_GB2312" w:hAnsi="宋体"/>
          <w:szCs w:val="32"/>
        </w:rPr>
        <w:t>万元，2024年度绩效目标为</w:t>
      </w:r>
      <w:r>
        <w:rPr>
          <w:rFonts w:hint="eastAsia" w:ascii="仿宋_GB2312" w:hAnsi="宋体"/>
          <w:szCs w:val="32"/>
          <w:lang w:eastAsia="zh-CN"/>
        </w:rPr>
        <w:t>按时支付本院水电费</w:t>
      </w:r>
      <w:r>
        <w:rPr>
          <w:rFonts w:hint="eastAsia" w:ascii="仿宋_GB2312" w:hAnsi="宋体"/>
          <w:szCs w:val="32"/>
        </w:rPr>
        <w:t>，设</w:t>
      </w:r>
      <w:r>
        <w:rPr>
          <w:rFonts w:hint="eastAsia" w:ascii="仿宋_GB2312" w:hAnsi="宋体"/>
          <w:szCs w:val="32"/>
          <w:lang w:val="en-US" w:eastAsia="zh-CN"/>
        </w:rPr>
        <w:t>2</w:t>
      </w:r>
      <w:r>
        <w:rPr>
          <w:rFonts w:hint="eastAsia" w:ascii="仿宋_GB2312" w:hAnsi="宋体"/>
          <w:szCs w:val="32"/>
        </w:rPr>
        <w:t>条数量指标：数量指标1.</w:t>
      </w:r>
      <w:r>
        <w:t>水电费缴纳次数</w:t>
      </w:r>
      <w:r>
        <w:rPr>
          <w:rFonts w:hint="eastAsia"/>
          <w:lang w:eastAsia="zh-CN"/>
        </w:rPr>
        <w:t>≥</w:t>
      </w:r>
      <w:r>
        <w:rPr>
          <w:rFonts w:hint="eastAsia"/>
          <w:lang w:val="en-US" w:eastAsia="zh-CN"/>
        </w:rPr>
        <w:t>12次</w:t>
      </w:r>
      <w:r>
        <w:rPr>
          <w:rFonts w:hint="eastAsia" w:ascii="仿宋_GB2312" w:hAnsi="宋体"/>
          <w:szCs w:val="32"/>
        </w:rPr>
        <w:t>,数量指标2.水电费保障人数</w:t>
      </w:r>
      <w:r>
        <w:rPr>
          <w:rFonts w:hint="eastAsia" w:ascii="仿宋_GB2312" w:hAnsi="宋体"/>
          <w:szCs w:val="32"/>
          <w:lang w:eastAsia="zh-CN"/>
        </w:rPr>
        <w:t>≥</w:t>
      </w:r>
      <w:r>
        <w:rPr>
          <w:rFonts w:hint="eastAsia" w:ascii="仿宋_GB2312" w:hAnsi="宋体"/>
          <w:szCs w:val="32"/>
          <w:lang w:val="en-US" w:eastAsia="zh-CN"/>
        </w:rPr>
        <w:t>62人</w:t>
      </w:r>
      <w:r>
        <w:rPr>
          <w:rFonts w:hint="eastAsia" w:ascii="仿宋_GB2312" w:hAnsi="宋体"/>
          <w:szCs w:val="32"/>
        </w:rPr>
        <w:t>；设</w:t>
      </w:r>
      <w:r>
        <w:rPr>
          <w:rFonts w:hint="eastAsia" w:ascii="仿宋_GB2312" w:hAnsi="宋体"/>
          <w:szCs w:val="32"/>
          <w:lang w:val="en-US" w:eastAsia="zh-CN"/>
        </w:rPr>
        <w:t>2</w:t>
      </w:r>
      <w:r>
        <w:rPr>
          <w:rFonts w:hint="eastAsia" w:ascii="仿宋_GB2312" w:hAnsi="宋体"/>
          <w:szCs w:val="32"/>
        </w:rPr>
        <w:t>条质量指标：质量指标1.用水节约率</w:t>
      </w:r>
      <w:r>
        <w:rPr>
          <w:rFonts w:hint="eastAsia"/>
          <w:lang w:eastAsia="zh-CN"/>
        </w:rPr>
        <w:t>≥</w:t>
      </w:r>
      <w:r>
        <w:rPr>
          <w:rFonts w:hint="eastAsia"/>
          <w:lang w:val="en-US" w:eastAsia="zh-CN"/>
        </w:rPr>
        <w:t>100%</w:t>
      </w:r>
      <w:r>
        <w:rPr>
          <w:rFonts w:hint="eastAsia" w:ascii="仿宋_GB2312" w:hAnsi="宋体"/>
          <w:szCs w:val="32"/>
        </w:rPr>
        <w:t>,质量指标2.用</w:t>
      </w:r>
      <w:r>
        <w:rPr>
          <w:rFonts w:hint="eastAsia" w:ascii="仿宋_GB2312" w:hAnsi="宋体"/>
          <w:szCs w:val="32"/>
          <w:lang w:eastAsia="zh-CN"/>
        </w:rPr>
        <w:t>电</w:t>
      </w:r>
      <w:r>
        <w:rPr>
          <w:rFonts w:hint="eastAsia" w:ascii="仿宋_GB2312" w:hAnsi="宋体"/>
          <w:szCs w:val="32"/>
        </w:rPr>
        <w:t>节约率</w:t>
      </w:r>
      <w:r>
        <w:rPr>
          <w:rFonts w:hint="eastAsia"/>
          <w:lang w:eastAsia="zh-CN"/>
        </w:rPr>
        <w:t>≥</w:t>
      </w:r>
      <w:r>
        <w:rPr>
          <w:rFonts w:hint="eastAsia"/>
          <w:lang w:val="en-US" w:eastAsia="zh-CN"/>
        </w:rPr>
        <w:t>100%</w:t>
      </w:r>
      <w:r>
        <w:rPr>
          <w:rFonts w:hint="eastAsia" w:ascii="仿宋_GB2312" w:hAnsi="宋体"/>
          <w:szCs w:val="32"/>
        </w:rPr>
        <w:t>；设</w:t>
      </w:r>
      <w:r>
        <w:rPr>
          <w:rFonts w:hint="eastAsia" w:ascii="仿宋_GB2312" w:hAnsi="宋体"/>
          <w:szCs w:val="32"/>
          <w:lang w:val="en-US" w:eastAsia="zh-CN"/>
        </w:rPr>
        <w:t>2</w:t>
      </w:r>
      <w:r>
        <w:rPr>
          <w:rFonts w:hint="eastAsia" w:ascii="仿宋_GB2312" w:hAnsi="宋体"/>
          <w:szCs w:val="32"/>
        </w:rPr>
        <w:t>条时效指标：时效指标1.项目完成及时性</w:t>
      </w:r>
      <w:r>
        <w:rPr>
          <w:rFonts w:hint="eastAsia"/>
          <w:lang w:eastAsia="zh-CN"/>
        </w:rPr>
        <w:t>≥</w:t>
      </w:r>
      <w:r>
        <w:rPr>
          <w:rFonts w:hint="eastAsia"/>
          <w:lang w:val="en-US" w:eastAsia="zh-CN"/>
        </w:rPr>
        <w:t>100%</w:t>
      </w:r>
      <w:r>
        <w:rPr>
          <w:rFonts w:hint="eastAsia" w:ascii="仿宋_GB2312" w:hAnsi="宋体"/>
          <w:szCs w:val="32"/>
        </w:rPr>
        <w:t>,时效指标2.经费支出及时性</w:t>
      </w:r>
      <w:r>
        <w:rPr>
          <w:rFonts w:hint="eastAsia"/>
          <w:lang w:eastAsia="zh-CN"/>
        </w:rPr>
        <w:t>≥</w:t>
      </w:r>
      <w:r>
        <w:rPr>
          <w:rFonts w:hint="eastAsia"/>
          <w:lang w:val="en-US" w:eastAsia="zh-CN"/>
        </w:rPr>
        <w:t>100%</w:t>
      </w:r>
      <w:r>
        <w:rPr>
          <w:rFonts w:hint="eastAsia" w:ascii="仿宋_GB2312" w:hAnsi="宋体"/>
          <w:szCs w:val="32"/>
        </w:rPr>
        <w:t>；设</w:t>
      </w:r>
      <w:r>
        <w:rPr>
          <w:rFonts w:hint="eastAsia" w:ascii="仿宋_GB2312" w:hAnsi="宋体"/>
          <w:szCs w:val="32"/>
          <w:lang w:val="en-US" w:eastAsia="zh-CN"/>
        </w:rPr>
        <w:t>1</w:t>
      </w:r>
      <w:r>
        <w:rPr>
          <w:rFonts w:hint="eastAsia" w:ascii="仿宋_GB2312" w:hAnsi="宋体"/>
          <w:szCs w:val="32"/>
        </w:rPr>
        <w:t>条成本指标：成本指标1.项目总成本</w:t>
      </w:r>
      <w:r>
        <w:rPr>
          <w:rFonts w:hint="eastAsia" w:ascii="仿宋_GB2312" w:hAnsi="宋体"/>
          <w:szCs w:val="32"/>
          <w:lang w:eastAsia="zh-CN"/>
        </w:rPr>
        <w:t>≤</w:t>
      </w:r>
      <w:r>
        <w:rPr>
          <w:rFonts w:hint="eastAsia" w:ascii="仿宋_GB2312" w:hAnsi="宋体"/>
          <w:szCs w:val="32"/>
          <w:lang w:val="en-US" w:eastAsia="zh-CN"/>
        </w:rPr>
        <w:t>25万元</w:t>
      </w:r>
      <w:r>
        <w:rPr>
          <w:rFonts w:hint="eastAsia" w:ascii="仿宋_GB2312" w:hAnsi="宋体"/>
          <w:szCs w:val="32"/>
        </w:rPr>
        <w:t>；设</w:t>
      </w:r>
      <w:r>
        <w:rPr>
          <w:rFonts w:hint="eastAsia" w:ascii="仿宋_GB2312" w:hAnsi="宋体"/>
          <w:szCs w:val="32"/>
          <w:lang w:val="en-US" w:eastAsia="zh-CN"/>
        </w:rPr>
        <w:t>0</w:t>
      </w:r>
      <w:r>
        <w:rPr>
          <w:rFonts w:hint="eastAsia" w:ascii="仿宋_GB2312" w:hAnsi="宋体"/>
          <w:szCs w:val="32"/>
        </w:rPr>
        <w:t>条经济效益指标</w:t>
      </w:r>
      <w:r>
        <w:rPr>
          <w:rFonts w:hint="eastAsia" w:ascii="仿宋_GB2312" w:hAnsi="宋体"/>
          <w:szCs w:val="32"/>
          <w:lang w:eastAsia="zh-CN"/>
        </w:rPr>
        <w:t>；</w:t>
      </w:r>
      <w:r>
        <w:rPr>
          <w:rFonts w:hint="eastAsia" w:ascii="仿宋_GB2312" w:hAnsi="宋体"/>
          <w:szCs w:val="32"/>
        </w:rPr>
        <w:t>设</w:t>
      </w:r>
      <w:r>
        <w:rPr>
          <w:rFonts w:hint="eastAsia" w:ascii="仿宋_GB2312" w:hAnsi="宋体"/>
          <w:szCs w:val="32"/>
          <w:lang w:val="en-US" w:eastAsia="zh-CN"/>
        </w:rPr>
        <w:t>1</w:t>
      </w:r>
      <w:r>
        <w:rPr>
          <w:rFonts w:hint="eastAsia" w:ascii="仿宋_GB2312" w:hAnsi="宋体"/>
          <w:szCs w:val="32"/>
        </w:rPr>
        <w:t>条</w:t>
      </w:r>
      <w:r>
        <w:rPr>
          <w:rFonts w:hint="eastAsia" w:ascii="仿宋_GB2312" w:hAnsi="宋体"/>
          <w:szCs w:val="32"/>
          <w:u w:val="none"/>
        </w:rPr>
        <w:t>社会效益指标</w:t>
      </w:r>
      <w:r>
        <w:rPr>
          <w:rFonts w:hint="eastAsia" w:ascii="仿宋_GB2312" w:hAnsi="宋体"/>
          <w:szCs w:val="32"/>
          <w:u w:val="none"/>
          <w:lang w:eastAsia="zh-CN"/>
        </w:rPr>
        <w:t>：对保障本单位工作日常运行的影响程度率</w:t>
      </w:r>
      <w:r>
        <w:rPr>
          <w:rFonts w:hint="eastAsia"/>
          <w:lang w:eastAsia="zh-CN"/>
        </w:rPr>
        <w:t>≥</w:t>
      </w:r>
      <w:r>
        <w:rPr>
          <w:rFonts w:hint="eastAsia"/>
          <w:lang w:val="en-US" w:eastAsia="zh-CN"/>
        </w:rPr>
        <w:t>100%；</w:t>
      </w:r>
      <w:r>
        <w:rPr>
          <w:rFonts w:hint="eastAsia" w:ascii="仿宋_GB2312" w:hAnsi="宋体"/>
          <w:szCs w:val="32"/>
          <w:u w:val="none"/>
        </w:rPr>
        <w:t>设</w:t>
      </w:r>
      <w:r>
        <w:rPr>
          <w:rFonts w:hint="eastAsia" w:ascii="仿宋_GB2312" w:hAnsi="宋体"/>
          <w:szCs w:val="32"/>
          <w:u w:val="none"/>
          <w:lang w:val="en-US" w:eastAsia="zh-CN"/>
        </w:rPr>
        <w:t>1</w:t>
      </w:r>
      <w:r>
        <w:rPr>
          <w:rFonts w:hint="eastAsia" w:ascii="仿宋_GB2312" w:hAnsi="宋体"/>
          <w:szCs w:val="32"/>
          <w:u w:val="none"/>
        </w:rPr>
        <w:t>条可持续影响指标</w:t>
      </w:r>
      <w:r>
        <w:rPr>
          <w:rFonts w:hint="eastAsia" w:ascii="仿宋_GB2312" w:hAnsi="宋体"/>
          <w:szCs w:val="32"/>
          <w:u w:val="none"/>
          <w:lang w:eastAsia="zh-CN"/>
        </w:rPr>
        <w:t>：对单位职能发挥的持续影响程度率</w:t>
      </w:r>
      <w:r>
        <w:rPr>
          <w:rFonts w:hint="eastAsia"/>
          <w:lang w:eastAsia="zh-CN"/>
        </w:rPr>
        <w:t>≥</w:t>
      </w:r>
      <w:r>
        <w:rPr>
          <w:rFonts w:hint="eastAsia"/>
          <w:lang w:val="en-US" w:eastAsia="zh-CN"/>
        </w:rPr>
        <w:t>100%；</w:t>
      </w:r>
      <w:r>
        <w:rPr>
          <w:rFonts w:hint="eastAsia" w:ascii="仿宋_GB2312" w:hAnsi="宋体"/>
          <w:szCs w:val="32"/>
        </w:rPr>
        <w:t>设</w:t>
      </w:r>
      <w:r>
        <w:rPr>
          <w:rFonts w:hint="eastAsia" w:ascii="仿宋_GB2312" w:hAnsi="宋体"/>
          <w:szCs w:val="32"/>
          <w:lang w:val="en-US" w:eastAsia="zh-CN"/>
        </w:rPr>
        <w:t>1</w:t>
      </w:r>
      <w:r>
        <w:rPr>
          <w:rFonts w:hint="eastAsia" w:ascii="仿宋_GB2312" w:hAnsi="宋体"/>
          <w:szCs w:val="32"/>
        </w:rPr>
        <w:t>条满意度指标：本单位工作人员满意度</w:t>
      </w:r>
      <w:r>
        <w:rPr>
          <w:rFonts w:hint="eastAsia"/>
          <w:lang w:eastAsia="zh-CN"/>
        </w:rPr>
        <w:t>≥</w:t>
      </w:r>
      <w:r>
        <w:rPr>
          <w:rFonts w:hint="eastAsia"/>
          <w:lang w:val="en-US" w:eastAsia="zh-CN"/>
        </w:rPr>
        <w:t>100%</w:t>
      </w:r>
      <w:bookmarkStart w:id="0" w:name="_GoBack"/>
      <w:bookmarkEnd w:id="0"/>
      <w:r>
        <w:rPr>
          <w:rFonts w:hint="eastAsia" w:ascii="仿宋_GB2312" w:hAnsi="宋体"/>
          <w:szCs w:val="32"/>
        </w:rPr>
        <w:t>。</w:t>
      </w:r>
    </w:p>
    <w:p>
      <w:pPr>
        <w:tabs>
          <w:tab w:val="center" w:pos="4475"/>
        </w:tabs>
        <w:spacing w:line="560" w:lineRule="exact"/>
        <w:ind w:firstLine="645"/>
        <w:rPr>
          <w:rFonts w:ascii="黑体" w:eastAsia="黑体"/>
          <w:szCs w:val="32"/>
        </w:rPr>
      </w:pPr>
    </w:p>
    <w:p>
      <w:pPr>
        <w:tabs>
          <w:tab w:val="center" w:pos="4475"/>
        </w:tabs>
        <w:spacing w:line="560" w:lineRule="exact"/>
        <w:ind w:firstLine="645"/>
        <w:rPr>
          <w:rFonts w:ascii="黑体" w:eastAsia="黑体"/>
          <w:szCs w:val="32"/>
        </w:rPr>
      </w:pPr>
      <w:r>
        <w:rPr>
          <w:rFonts w:hint="eastAsia" w:ascii="黑体" w:eastAsia="黑体"/>
          <w:szCs w:val="32"/>
        </w:rPr>
        <w:t>第三部分：名词解释</w:t>
      </w:r>
    </w:p>
    <w:p>
      <w:pPr>
        <w:spacing w:line="360" w:lineRule="auto"/>
        <w:ind w:firstLine="640" w:firstLineChars="200"/>
        <w:rPr>
          <w:rFonts w:hint="eastAsia" w:ascii="宋体" w:hAnsi="宋体" w:eastAsia="宋体"/>
          <w:szCs w:val="32"/>
        </w:rPr>
      </w:pPr>
      <w:r>
        <w:rPr>
          <w:rFonts w:hint="eastAsia" w:ascii="宋体" w:hAnsi="宋体" w:eastAsia="宋体"/>
          <w:szCs w:val="32"/>
        </w:rPr>
        <w:t>一、财政拨款收入：指自治区财政部门当年拨付的资金。</w:t>
      </w:r>
    </w:p>
    <w:p>
      <w:pPr>
        <w:spacing w:line="360" w:lineRule="auto"/>
        <w:ind w:firstLine="640" w:firstLineChars="200"/>
        <w:rPr>
          <w:rFonts w:hint="eastAsia" w:ascii="宋体" w:hAnsi="宋体" w:eastAsia="宋体"/>
          <w:szCs w:val="32"/>
        </w:rPr>
      </w:pPr>
      <w:r>
        <w:rPr>
          <w:rFonts w:hint="eastAsia" w:ascii="宋体" w:hAnsi="宋体" w:eastAsia="宋体"/>
          <w:szCs w:val="32"/>
        </w:rPr>
        <w:t>二、其他收入：指除上述“财政拨款收入”、“事业收入”、“经营收入”等以外的收入。</w:t>
      </w:r>
    </w:p>
    <w:p>
      <w:pPr>
        <w:spacing w:line="360" w:lineRule="auto"/>
        <w:ind w:firstLine="640" w:firstLineChars="200"/>
        <w:rPr>
          <w:rFonts w:hint="eastAsia" w:ascii="宋体" w:hAnsi="宋体" w:eastAsia="宋体"/>
          <w:szCs w:val="32"/>
        </w:rPr>
      </w:pPr>
      <w:r>
        <w:rPr>
          <w:rFonts w:hint="eastAsia" w:ascii="宋体" w:hAnsi="宋体" w:eastAsia="宋体"/>
          <w:szCs w:val="32"/>
        </w:rPr>
        <w:t>三、年初结转和结余：指以前年度尚未完成、结转到本年按有关规定继续使用的资金。</w:t>
      </w:r>
    </w:p>
    <w:p>
      <w:pPr>
        <w:spacing w:line="360" w:lineRule="auto"/>
        <w:ind w:firstLine="640" w:firstLineChars="200"/>
        <w:rPr>
          <w:rFonts w:hint="eastAsia" w:ascii="宋体" w:hAnsi="宋体" w:eastAsia="宋体"/>
          <w:szCs w:val="32"/>
        </w:rPr>
      </w:pPr>
      <w:r>
        <w:rPr>
          <w:rFonts w:hint="eastAsia" w:ascii="宋体" w:hAnsi="宋体" w:eastAsia="宋体"/>
          <w:szCs w:val="32"/>
        </w:rPr>
        <w:t>四、年末结转和结余：指本年度或以前年度预算安排、因客观条件发生变化无法按原计划实施，需要延迟到以后年度按有关规定继续使用的资金。</w:t>
      </w:r>
    </w:p>
    <w:p>
      <w:pPr>
        <w:spacing w:line="360" w:lineRule="auto"/>
        <w:ind w:firstLine="640" w:firstLineChars="200"/>
        <w:rPr>
          <w:rFonts w:hint="eastAsia" w:ascii="宋体" w:hAnsi="宋体" w:eastAsia="宋体"/>
          <w:szCs w:val="32"/>
        </w:rPr>
      </w:pPr>
      <w:r>
        <w:rPr>
          <w:rFonts w:hint="eastAsia" w:ascii="宋体" w:hAnsi="宋体" w:eastAsia="宋体"/>
          <w:szCs w:val="32"/>
        </w:rPr>
        <w:t>五、基本支出：指为保障机构正常运转、完成日常工作任务而发生的人员支出和公用支出。</w:t>
      </w:r>
    </w:p>
    <w:p>
      <w:pPr>
        <w:spacing w:line="360" w:lineRule="auto"/>
        <w:ind w:firstLine="640" w:firstLineChars="200"/>
        <w:rPr>
          <w:rFonts w:hint="eastAsia" w:ascii="宋体" w:hAnsi="宋体" w:eastAsia="宋体"/>
          <w:szCs w:val="32"/>
        </w:rPr>
      </w:pPr>
      <w:r>
        <w:rPr>
          <w:rFonts w:hint="eastAsia" w:ascii="宋体" w:hAnsi="宋体" w:eastAsia="宋体"/>
          <w:szCs w:val="32"/>
        </w:rPr>
        <w:t>六、项目支出：指在基本支出之外为完成特定行政任务和事业发展目标所发生的支出。</w:t>
      </w:r>
    </w:p>
    <w:p>
      <w:pPr>
        <w:spacing w:line="360" w:lineRule="auto"/>
        <w:ind w:firstLine="640" w:firstLineChars="200"/>
        <w:rPr>
          <w:rFonts w:hint="eastAsia" w:ascii="宋体" w:hAnsi="宋体" w:eastAsia="宋体"/>
          <w:szCs w:val="32"/>
        </w:rPr>
      </w:pPr>
      <w:r>
        <w:rPr>
          <w:rFonts w:hint="eastAsia" w:ascii="宋体" w:hAnsi="宋体" w:eastAsia="宋体"/>
          <w:szCs w:val="32"/>
        </w:rPr>
        <w:t>七、“三公”经费：纳入自治区财政预决算管理的“三公”经费，是指自治区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line="360" w:lineRule="auto"/>
        <w:ind w:firstLine="640" w:firstLineChars="200"/>
        <w:rPr>
          <w:rFonts w:hint="eastAsia" w:ascii="宋体" w:hAnsi="宋体" w:eastAsia="宋体"/>
          <w:szCs w:val="32"/>
        </w:rPr>
      </w:pPr>
      <w:r>
        <w:rPr>
          <w:rFonts w:hint="eastAsia" w:ascii="宋体" w:hAnsi="宋体" w:eastAsia="宋体"/>
          <w:szCs w:val="32"/>
        </w:rPr>
        <w:t>八、机关运行经费：为保障行政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360" w:lineRule="auto"/>
        <w:ind w:firstLine="640" w:firstLineChars="200"/>
        <w:rPr>
          <w:rFonts w:hint="eastAsia" w:ascii="宋体" w:hAnsi="宋体" w:eastAsia="宋体"/>
          <w:szCs w:val="32"/>
        </w:rPr>
      </w:pPr>
      <w:r>
        <w:rPr>
          <w:rFonts w:hint="eastAsia" w:ascii="宋体" w:hAnsi="宋体" w:eastAsia="宋体"/>
          <w:szCs w:val="32"/>
        </w:rPr>
        <w:t>九、行政运行（检察）：指主要用于单位为保证日常运转发生的基本支出。如根据国家规定的基本工资和津补贴标准等安排的人员经费支出、按自治区统一规定的开支标准安排的办公费、印刷费、水电费、培训费、差旅费、会议费等日常公用经费支出。</w:t>
      </w:r>
    </w:p>
    <w:p>
      <w:pPr>
        <w:spacing w:line="360" w:lineRule="auto"/>
        <w:ind w:firstLine="640" w:firstLineChars="200"/>
        <w:rPr>
          <w:rFonts w:hint="eastAsia" w:ascii="宋体" w:hAnsi="宋体" w:eastAsia="宋体"/>
          <w:szCs w:val="32"/>
        </w:rPr>
      </w:pPr>
      <w:r>
        <w:rPr>
          <w:rFonts w:hint="eastAsia" w:ascii="宋体" w:hAnsi="宋体" w:eastAsia="宋体"/>
          <w:szCs w:val="32"/>
        </w:rPr>
        <w:t xml:space="preserve">十、一般行政管理事务（检察）：指主要用于单位为完成各项工作任务、保障单位发展而发生的项目支出。 </w:t>
      </w:r>
    </w:p>
    <w:p>
      <w:pPr>
        <w:spacing w:line="360" w:lineRule="auto"/>
        <w:ind w:firstLine="640" w:firstLineChars="200"/>
        <w:rPr>
          <w:rFonts w:hint="eastAsia" w:ascii="宋体" w:hAnsi="宋体" w:eastAsia="宋体"/>
          <w:szCs w:val="32"/>
        </w:rPr>
      </w:pPr>
      <w:r>
        <w:rPr>
          <w:rFonts w:hint="eastAsia" w:ascii="宋体" w:hAnsi="宋体" w:eastAsia="宋体"/>
          <w:szCs w:val="32"/>
        </w:rPr>
        <w:t>十一、社会保障和就业（类）行政事业单位离退休（款）归口管理的行政单位离退休（项）：主要用于按规定提取的离退休人员定额公用经费的支出。</w:t>
      </w:r>
    </w:p>
    <w:p>
      <w:pPr>
        <w:spacing w:line="360" w:lineRule="auto"/>
        <w:ind w:firstLine="640" w:firstLineChars="200"/>
        <w:rPr>
          <w:rFonts w:hint="eastAsia" w:ascii="宋体" w:hAnsi="宋体" w:eastAsia="宋体"/>
          <w:szCs w:val="32"/>
        </w:rPr>
      </w:pPr>
      <w:r>
        <w:rPr>
          <w:rFonts w:hint="eastAsia" w:ascii="宋体" w:hAnsi="宋体" w:eastAsia="宋体"/>
          <w:szCs w:val="32"/>
        </w:rPr>
        <w:t>十二、社会保障和就业（类）行政事业单位离退休（款）事业单位离退休（项）：主要用于厅单位按规定提取的离退休人员定额公用经费的支出。</w:t>
      </w:r>
    </w:p>
    <w:p>
      <w:pPr>
        <w:spacing w:line="360" w:lineRule="auto"/>
        <w:ind w:firstLine="640" w:firstLineChars="200"/>
        <w:rPr>
          <w:rFonts w:hint="eastAsia" w:ascii="宋体" w:hAnsi="宋体" w:eastAsia="宋体"/>
          <w:szCs w:val="32"/>
        </w:rPr>
      </w:pPr>
      <w:r>
        <w:rPr>
          <w:rFonts w:hint="eastAsia" w:ascii="宋体" w:hAnsi="宋体" w:eastAsia="宋体"/>
          <w:szCs w:val="32"/>
        </w:rPr>
        <w:t>十三、社会保障和就业（类）行政事业单位离退休（款）机关事业单位基本养老保险支出（项）：主要用于支付行政单位在职职工的单位养老保险费用。</w:t>
      </w:r>
    </w:p>
    <w:p>
      <w:pPr>
        <w:spacing w:line="360" w:lineRule="auto"/>
        <w:ind w:firstLine="640" w:firstLineChars="200"/>
        <w:rPr>
          <w:rFonts w:hint="eastAsia" w:ascii="宋体" w:hAnsi="宋体" w:eastAsia="宋体"/>
          <w:szCs w:val="32"/>
        </w:rPr>
      </w:pPr>
      <w:r>
        <w:rPr>
          <w:rFonts w:hint="eastAsia" w:ascii="宋体" w:hAnsi="宋体" w:eastAsia="宋体"/>
          <w:szCs w:val="32"/>
        </w:rPr>
        <w:t>十四、社会保障和就业（类）行政事业单位离退休（款）机关事业单位职业年金缴费支出（项）：主要用于支付单位在职职工单位职业年金费用。</w:t>
      </w:r>
    </w:p>
    <w:p>
      <w:pPr>
        <w:spacing w:line="360" w:lineRule="auto"/>
        <w:ind w:firstLine="640" w:firstLineChars="200"/>
        <w:rPr>
          <w:rFonts w:hint="eastAsia" w:ascii="宋体" w:hAnsi="宋体" w:eastAsia="宋体"/>
          <w:szCs w:val="32"/>
        </w:rPr>
      </w:pPr>
      <w:r>
        <w:rPr>
          <w:rFonts w:hint="eastAsia" w:ascii="宋体" w:hAnsi="宋体" w:eastAsia="宋体"/>
          <w:szCs w:val="32"/>
        </w:rPr>
        <w:t>十五、医疗卫生与计划生育支出（类）行政事业单位医疗（款）行政单位医疗（项）：主要是根据自治区统一规定，按行政机关在职职工工资总额的一定比例计缴的医疗保险。</w:t>
      </w:r>
    </w:p>
    <w:p>
      <w:pPr>
        <w:spacing w:line="360" w:lineRule="auto"/>
        <w:ind w:firstLine="640" w:firstLineChars="200"/>
        <w:rPr>
          <w:rFonts w:hint="eastAsia" w:ascii="宋体" w:hAnsi="宋体" w:eastAsia="宋体"/>
          <w:szCs w:val="32"/>
        </w:rPr>
      </w:pPr>
      <w:r>
        <w:rPr>
          <w:rFonts w:hint="eastAsia" w:ascii="宋体" w:hAnsi="宋体" w:eastAsia="宋体"/>
          <w:szCs w:val="32"/>
        </w:rPr>
        <w:t>十六、医疗卫生与计划生育支出（类）行政事业单位医疗（款）事业单位医疗（项）：主要是根据自治区统一规定，按在职职工工资总额的一定比例计缴的医疗保险。</w:t>
      </w:r>
    </w:p>
    <w:p>
      <w:pPr>
        <w:spacing w:line="360" w:lineRule="auto"/>
        <w:ind w:firstLine="640" w:firstLineChars="200"/>
        <w:rPr>
          <w:rFonts w:hint="eastAsia" w:ascii="宋体" w:hAnsi="宋体" w:eastAsia="宋体"/>
          <w:szCs w:val="32"/>
        </w:rPr>
      </w:pPr>
      <w:r>
        <w:rPr>
          <w:rFonts w:hint="eastAsia" w:ascii="宋体" w:hAnsi="宋体" w:eastAsia="宋体"/>
          <w:szCs w:val="32"/>
        </w:rPr>
        <w:t>十七、住房保障支出（类）住房改革支出（款）住房公积金(项)：主要是按照国家统一规定，为单位职工计缴的住房公积金。</w:t>
      </w:r>
    </w:p>
    <w:p>
      <w:pPr>
        <w:tabs>
          <w:tab w:val="center" w:pos="4475"/>
        </w:tabs>
        <w:spacing w:line="560" w:lineRule="exact"/>
        <w:ind w:firstLine="645"/>
        <w:rPr>
          <w:rFonts w:ascii="黑体" w:eastAsia="黑体"/>
          <w:szCs w:val="32"/>
        </w:rPr>
      </w:pPr>
    </w:p>
    <w:p>
      <w:pPr>
        <w:tabs>
          <w:tab w:val="center" w:pos="4475"/>
        </w:tabs>
        <w:spacing w:line="560" w:lineRule="exact"/>
        <w:ind w:firstLine="645"/>
        <w:rPr>
          <w:rFonts w:ascii="黑体" w:eastAsia="黑体"/>
          <w:szCs w:val="32"/>
        </w:rPr>
      </w:pPr>
      <w:r>
        <w:rPr>
          <w:rFonts w:hint="eastAsia" w:ascii="黑体" w:eastAsia="黑体"/>
          <w:szCs w:val="32"/>
        </w:rPr>
        <w:t>第四部分：</w:t>
      </w:r>
      <w:r>
        <w:rPr>
          <w:rFonts w:hint="eastAsia" w:ascii="黑体" w:hAnsi="宋体" w:eastAsia="黑体"/>
          <w:szCs w:val="32"/>
          <w:lang w:eastAsia="zh-CN"/>
        </w:rPr>
        <w:t>灵川县人民检察院</w:t>
      </w:r>
      <w:r>
        <w:rPr>
          <w:rFonts w:hint="eastAsia" w:ascii="黑体" w:hAnsi="宋体" w:eastAsia="黑体"/>
          <w:szCs w:val="32"/>
        </w:rPr>
        <w:t>2024年</w:t>
      </w:r>
      <w:r>
        <w:rPr>
          <w:rFonts w:hint="eastAsia" w:ascii="黑体" w:eastAsia="黑体"/>
          <w:szCs w:val="32"/>
        </w:rPr>
        <w:t>部门预算报表</w:t>
      </w:r>
    </w:p>
    <w:p>
      <w:pPr>
        <w:adjustRightInd w:val="0"/>
        <w:snapToGrid w:val="0"/>
        <w:spacing w:line="586" w:lineRule="exact"/>
        <w:ind w:firstLine="470" w:firstLineChars="147"/>
        <w:rPr>
          <w:szCs w:val="32"/>
        </w:rPr>
      </w:pPr>
      <w:r>
        <w:rPr>
          <w:szCs w:val="32"/>
        </w:rPr>
        <w:t>一、部门收支总体情况表（表1）</w:t>
      </w:r>
    </w:p>
    <w:p>
      <w:pPr>
        <w:adjustRightInd w:val="0"/>
        <w:snapToGrid w:val="0"/>
        <w:spacing w:line="586" w:lineRule="exact"/>
        <w:ind w:firstLine="470" w:firstLineChars="147"/>
        <w:rPr>
          <w:szCs w:val="32"/>
        </w:rPr>
      </w:pPr>
      <w:r>
        <w:rPr>
          <w:szCs w:val="32"/>
        </w:rPr>
        <w:t>二、部门收入总体情况表（表2）</w:t>
      </w:r>
    </w:p>
    <w:p>
      <w:pPr>
        <w:adjustRightInd w:val="0"/>
        <w:snapToGrid w:val="0"/>
        <w:spacing w:line="586" w:lineRule="exact"/>
        <w:ind w:firstLine="470" w:firstLineChars="147"/>
        <w:rPr>
          <w:szCs w:val="32"/>
        </w:rPr>
      </w:pPr>
      <w:r>
        <w:rPr>
          <w:szCs w:val="32"/>
        </w:rPr>
        <w:t>三、部门支出总体情况表（表3）</w:t>
      </w:r>
    </w:p>
    <w:p>
      <w:pPr>
        <w:adjustRightInd w:val="0"/>
        <w:snapToGrid w:val="0"/>
        <w:spacing w:line="586" w:lineRule="exact"/>
        <w:ind w:firstLine="470" w:firstLineChars="147"/>
        <w:rPr>
          <w:szCs w:val="32"/>
        </w:rPr>
      </w:pPr>
      <w:r>
        <w:rPr>
          <w:szCs w:val="32"/>
        </w:rPr>
        <w:t>四、财政拨款收支总体情况表（表4）</w:t>
      </w:r>
    </w:p>
    <w:p>
      <w:pPr>
        <w:adjustRightInd w:val="0"/>
        <w:snapToGrid w:val="0"/>
        <w:spacing w:line="586" w:lineRule="exact"/>
        <w:ind w:firstLine="470" w:firstLineChars="147"/>
        <w:rPr>
          <w:szCs w:val="32"/>
        </w:rPr>
      </w:pPr>
      <w:r>
        <w:rPr>
          <w:szCs w:val="32"/>
        </w:rPr>
        <w:t>五、一般公共预算支出情况表（表5）</w:t>
      </w:r>
    </w:p>
    <w:p>
      <w:pPr>
        <w:adjustRightInd w:val="0"/>
        <w:snapToGrid w:val="0"/>
        <w:spacing w:line="586" w:lineRule="exact"/>
        <w:ind w:firstLine="470" w:firstLineChars="147"/>
        <w:rPr>
          <w:szCs w:val="32"/>
        </w:rPr>
      </w:pPr>
      <w:r>
        <w:rPr>
          <w:szCs w:val="32"/>
        </w:rPr>
        <w:t>六、一般公共预算基本支出情况表（表6）</w:t>
      </w:r>
    </w:p>
    <w:p>
      <w:pPr>
        <w:adjustRightInd w:val="0"/>
        <w:snapToGrid w:val="0"/>
        <w:spacing w:line="586" w:lineRule="exact"/>
        <w:ind w:firstLine="470" w:firstLineChars="147"/>
        <w:rPr>
          <w:szCs w:val="32"/>
        </w:rPr>
      </w:pPr>
      <w:r>
        <w:rPr>
          <w:szCs w:val="32"/>
        </w:rPr>
        <w:t>七、一般公共预算“三公”经费支出情况表（表7）</w:t>
      </w:r>
    </w:p>
    <w:p>
      <w:pPr>
        <w:adjustRightInd w:val="0"/>
        <w:snapToGrid w:val="0"/>
        <w:spacing w:line="586" w:lineRule="exact"/>
        <w:ind w:firstLine="470" w:firstLineChars="147"/>
        <w:rPr>
          <w:szCs w:val="32"/>
        </w:rPr>
      </w:pPr>
      <w:r>
        <w:rPr>
          <w:szCs w:val="32"/>
        </w:rPr>
        <w:t>八、政府性基金预算支出情况表（表8）</w:t>
      </w:r>
    </w:p>
    <w:p>
      <w:pPr>
        <w:adjustRightInd w:val="0"/>
        <w:snapToGrid w:val="0"/>
        <w:spacing w:line="586" w:lineRule="exact"/>
        <w:ind w:firstLine="470" w:firstLineChars="147"/>
        <w:rPr>
          <w:szCs w:val="32"/>
        </w:rPr>
      </w:pPr>
      <w:r>
        <w:rPr>
          <w:szCs w:val="32"/>
        </w:rPr>
        <w:t>九、国有资本经营预算支出表（表9）</w:t>
      </w:r>
    </w:p>
    <w:p>
      <w:pPr>
        <w:adjustRightInd w:val="0"/>
        <w:snapToGrid w:val="0"/>
        <w:spacing w:line="586" w:lineRule="exact"/>
        <w:ind w:firstLine="470" w:firstLineChars="147"/>
        <w:rPr>
          <w:szCs w:val="32"/>
        </w:rPr>
      </w:pPr>
      <w:r>
        <w:rPr>
          <w:szCs w:val="32"/>
        </w:rPr>
        <w:t>十、政府采购预算表（表10）</w:t>
      </w:r>
    </w:p>
    <w:p>
      <w:pPr>
        <w:adjustRightInd w:val="0"/>
        <w:snapToGrid w:val="0"/>
        <w:spacing w:line="586" w:lineRule="exact"/>
        <w:ind w:firstLine="470" w:firstLineChars="147"/>
        <w:rPr>
          <w:szCs w:val="32"/>
        </w:rPr>
      </w:pPr>
      <w:r>
        <w:rPr>
          <w:szCs w:val="32"/>
        </w:rPr>
        <w:t>十一、部门预算支出经济分类表（表11）</w:t>
      </w:r>
    </w:p>
    <w:p>
      <w:pPr>
        <w:adjustRightInd w:val="0"/>
        <w:snapToGrid w:val="0"/>
        <w:spacing w:line="586" w:lineRule="exact"/>
        <w:ind w:firstLine="470" w:firstLineChars="147"/>
        <w:rPr>
          <w:szCs w:val="32"/>
        </w:rPr>
      </w:pPr>
      <w:r>
        <w:rPr>
          <w:szCs w:val="32"/>
        </w:rPr>
        <w:t>十二、政府预算支出经济分类表（表12）</w:t>
      </w:r>
    </w:p>
    <w:p>
      <w:pPr>
        <w:adjustRightInd w:val="0"/>
        <w:snapToGrid w:val="0"/>
        <w:spacing w:line="586" w:lineRule="exact"/>
        <w:ind w:firstLine="470" w:firstLineChars="147"/>
        <w:rPr>
          <w:rFonts w:hint="default" w:eastAsia="仿宋_GB2312"/>
          <w:szCs w:val="32"/>
          <w:lang w:val="en-US" w:eastAsia="zh-CN"/>
        </w:rPr>
      </w:pPr>
      <w:r>
        <w:rPr>
          <w:rFonts w:hint="eastAsia"/>
          <w:szCs w:val="32"/>
          <w:lang w:val="en-US" w:eastAsia="zh-CN"/>
        </w:rPr>
        <w:t>十三、项目支出（部门预算）绩效目标申报表（表13）</w:t>
      </w:r>
    </w:p>
    <w:p>
      <w:pPr>
        <w:spacing w:line="586" w:lineRule="exact"/>
        <w:ind w:firstLine="470" w:firstLineChars="147"/>
        <w:rPr>
          <w:rFonts w:eastAsia="黑体"/>
          <w:szCs w:val="32"/>
        </w:rPr>
      </w:pPr>
      <w:r>
        <w:rPr>
          <w:rFonts w:hAnsi="黑体" w:eastAsia="黑体"/>
          <w:szCs w:val="32"/>
        </w:rPr>
        <w:t>上述报表详见附件。</w:t>
      </w:r>
    </w:p>
    <w:p>
      <w:pPr>
        <w:autoSpaceDE w:val="0"/>
        <w:autoSpaceDN w:val="0"/>
        <w:adjustRightInd w:val="0"/>
        <w:spacing w:line="586" w:lineRule="exact"/>
        <w:ind w:left="-224" w:leftChars="-70" w:firstLine="626" w:firstLineChars="195"/>
        <w:rPr>
          <w:rFonts w:hint="eastAsia" w:ascii="宋体" w:hAnsi="宋体" w:eastAsia="宋体" w:cs="宋体"/>
          <w:b w:val="0"/>
          <w:bCs/>
          <w:szCs w:val="32"/>
        </w:rPr>
      </w:pPr>
      <w:r>
        <w:rPr>
          <w:rFonts w:hint="eastAsia"/>
          <w:b/>
          <w:szCs w:val="32"/>
        </w:rPr>
        <w:t>附件.</w:t>
      </w:r>
      <w:r>
        <w:rPr>
          <w:rFonts w:hint="eastAsia" w:ascii="黑体" w:hAnsi="宋体" w:eastAsia="黑体"/>
          <w:szCs w:val="32"/>
        </w:rPr>
        <w:t xml:space="preserve"> </w:t>
      </w:r>
      <w:r>
        <w:rPr>
          <w:rFonts w:hint="eastAsia" w:ascii="宋体" w:hAnsi="宋体" w:eastAsia="宋体" w:cs="宋体"/>
          <w:b w:val="0"/>
          <w:bCs/>
          <w:szCs w:val="32"/>
          <w:lang w:eastAsia="zh-CN"/>
        </w:rPr>
        <w:t>灵川县人民检察院</w:t>
      </w:r>
      <w:r>
        <w:rPr>
          <w:rFonts w:hint="eastAsia" w:ascii="宋体" w:hAnsi="宋体" w:eastAsia="宋体" w:cs="宋体"/>
          <w:b w:val="0"/>
          <w:bCs/>
          <w:szCs w:val="32"/>
        </w:rPr>
        <w:t>部门预算报表（财政审核）（桂林市本级预算公开表）.xls</w:t>
      </w:r>
    </w:p>
    <w:p>
      <w:pPr>
        <w:tabs>
          <w:tab w:val="center" w:pos="4475"/>
        </w:tabs>
        <w:spacing w:line="560" w:lineRule="exact"/>
        <w:ind w:firstLine="645"/>
        <w:rPr>
          <w:rFonts w:ascii="仿宋_GB2312" w:hAnsi="宋体"/>
          <w:szCs w:val="32"/>
          <w:u w:val="single"/>
        </w:rPr>
      </w:pPr>
    </w:p>
    <w:p/>
    <w:sectPr>
      <w:footerReference r:id="rId3" w:type="default"/>
      <w:footerReference r:id="rId4" w:type="even"/>
      <w:pgSz w:w="11906" w:h="16838"/>
      <w:pgMar w:top="2098" w:right="1417" w:bottom="1984" w:left="1587" w:header="851" w:footer="992" w:gutter="0"/>
      <w:pgNumType w:start="8"/>
      <w:cols w:space="720" w:num="1"/>
      <w:docGrid w:type="lines" w:linePitch="634" w:charSpace="-21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Style w:val="7"/>
                              <w:rFonts w:ascii="宋体" w:hAnsi="宋体" w:cs="宋体"/>
                              <w:sz w:val="32"/>
                              <w:szCs w:val="32"/>
                            </w:rPr>
                          </w:pPr>
                          <w:r>
                            <w:rPr>
                              <w:rStyle w:val="7"/>
                              <w:rFonts w:hint="eastAsia" w:ascii="宋体" w:hAnsi="宋体" w:cs="宋体"/>
                              <w:sz w:val="28"/>
                              <w:szCs w:val="28"/>
                            </w:rPr>
                            <w:t>—</w:t>
                          </w:r>
                          <w:r>
                            <w:rPr>
                              <w:rStyle w:val="7"/>
                              <w:rFonts w:hint="eastAsia" w:ascii="宋体" w:hAnsi="宋体" w:cs="宋体"/>
                              <w:sz w:val="28"/>
                              <w:szCs w:val="28"/>
                            </w:rPr>
                            <w:fldChar w:fldCharType="begin"/>
                          </w:r>
                          <w:r>
                            <w:rPr>
                              <w:rStyle w:val="7"/>
                              <w:rFonts w:hint="eastAsia" w:ascii="宋体" w:hAnsi="宋体" w:cs="宋体"/>
                              <w:sz w:val="28"/>
                              <w:szCs w:val="28"/>
                            </w:rPr>
                            <w:instrText xml:space="preserve">PAGE  </w:instrText>
                          </w:r>
                          <w:r>
                            <w:rPr>
                              <w:rStyle w:val="7"/>
                              <w:rFonts w:hint="eastAsia" w:ascii="宋体" w:hAnsi="宋体" w:cs="宋体"/>
                              <w:sz w:val="28"/>
                              <w:szCs w:val="28"/>
                            </w:rPr>
                            <w:fldChar w:fldCharType="separate"/>
                          </w:r>
                          <w:r>
                            <w:rPr>
                              <w:rStyle w:val="7"/>
                              <w:rFonts w:ascii="宋体" w:hAnsi="宋体" w:cs="宋体"/>
                              <w:sz w:val="28"/>
                              <w:szCs w:val="28"/>
                            </w:rPr>
                            <w:t>13</w:t>
                          </w:r>
                          <w:r>
                            <w:rPr>
                              <w:rStyle w:val="7"/>
                              <w:rFonts w:hint="eastAsia" w:ascii="宋体" w:hAnsi="宋体" w:cs="宋体"/>
                              <w:sz w:val="28"/>
                              <w:szCs w:val="28"/>
                            </w:rPr>
                            <w:fldChar w:fldCharType="end"/>
                          </w:r>
                          <w:r>
                            <w:rPr>
                              <w:rStyle w:val="7"/>
                              <w:rFonts w:hint="eastAsia" w:ascii="宋体" w:hAnsi="宋体" w:cs="宋体"/>
                              <w:sz w:val="28"/>
                              <w:szCs w:val="28"/>
                            </w:rPr>
                            <w:t>—</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pPr>
                      <w:pStyle w:val="3"/>
                      <w:rPr>
                        <w:rStyle w:val="7"/>
                        <w:rFonts w:ascii="宋体" w:hAnsi="宋体" w:cs="宋体"/>
                        <w:sz w:val="32"/>
                        <w:szCs w:val="32"/>
                      </w:rPr>
                    </w:pPr>
                    <w:r>
                      <w:rPr>
                        <w:rStyle w:val="7"/>
                        <w:rFonts w:hint="eastAsia" w:ascii="宋体" w:hAnsi="宋体" w:cs="宋体"/>
                        <w:sz w:val="28"/>
                        <w:szCs w:val="28"/>
                      </w:rPr>
                      <w:t>—</w:t>
                    </w:r>
                    <w:r>
                      <w:rPr>
                        <w:rStyle w:val="7"/>
                        <w:rFonts w:hint="eastAsia" w:ascii="宋体" w:hAnsi="宋体" w:cs="宋体"/>
                        <w:sz w:val="28"/>
                        <w:szCs w:val="28"/>
                      </w:rPr>
                      <w:fldChar w:fldCharType="begin"/>
                    </w:r>
                    <w:r>
                      <w:rPr>
                        <w:rStyle w:val="7"/>
                        <w:rFonts w:hint="eastAsia" w:ascii="宋体" w:hAnsi="宋体" w:cs="宋体"/>
                        <w:sz w:val="28"/>
                        <w:szCs w:val="28"/>
                      </w:rPr>
                      <w:instrText xml:space="preserve">PAGE  </w:instrText>
                    </w:r>
                    <w:r>
                      <w:rPr>
                        <w:rStyle w:val="7"/>
                        <w:rFonts w:hint="eastAsia" w:ascii="宋体" w:hAnsi="宋体" w:cs="宋体"/>
                        <w:sz w:val="28"/>
                        <w:szCs w:val="28"/>
                      </w:rPr>
                      <w:fldChar w:fldCharType="separate"/>
                    </w:r>
                    <w:r>
                      <w:rPr>
                        <w:rStyle w:val="7"/>
                        <w:rFonts w:ascii="宋体" w:hAnsi="宋体" w:cs="宋体"/>
                        <w:sz w:val="28"/>
                        <w:szCs w:val="28"/>
                      </w:rPr>
                      <w:t>13</w:t>
                    </w:r>
                    <w:r>
                      <w:rPr>
                        <w:rStyle w:val="7"/>
                        <w:rFonts w:hint="eastAsia" w:ascii="宋体" w:hAnsi="宋体" w:cs="宋体"/>
                        <w:sz w:val="28"/>
                        <w:szCs w:val="28"/>
                      </w:rPr>
                      <w:fldChar w:fldCharType="end"/>
                    </w:r>
                    <w:r>
                      <w:rPr>
                        <w:rStyle w:val="7"/>
                        <w:rFonts w:hint="eastAsia" w:ascii="宋体" w:hAnsi="宋体" w:cs="宋体"/>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1M2U1YzNkMDZjNmUwYmNhNWI1OGIzMWNkZDZmYTYifQ=="/>
  </w:docVars>
  <w:rsids>
    <w:rsidRoot w:val="000E2B2E"/>
    <w:rsid w:val="000C60AF"/>
    <w:rsid w:val="000E2B2E"/>
    <w:rsid w:val="00102F95"/>
    <w:rsid w:val="004C201E"/>
    <w:rsid w:val="00656D84"/>
    <w:rsid w:val="006B3BA0"/>
    <w:rsid w:val="007035D5"/>
    <w:rsid w:val="007657B9"/>
    <w:rsid w:val="007C4397"/>
    <w:rsid w:val="00884219"/>
    <w:rsid w:val="0095006D"/>
    <w:rsid w:val="009D29CA"/>
    <w:rsid w:val="009E1B9E"/>
    <w:rsid w:val="00C20C21"/>
    <w:rsid w:val="00C42C76"/>
    <w:rsid w:val="00CD21AA"/>
    <w:rsid w:val="00E72012"/>
    <w:rsid w:val="42DB6FCF"/>
    <w:rsid w:val="6A5F4FF8"/>
    <w:rsid w:val="6BD307FF"/>
    <w:rsid w:val="702F2411"/>
    <w:rsid w:val="71CA67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Plain Text"/>
    <w:basedOn w:val="1"/>
    <w:autoRedefine/>
    <w:qFormat/>
    <w:uiPriority w:val="0"/>
    <w:rPr>
      <w:rFonts w:ascii="宋体" w:hAnsi="Courier New" w:cs="Courier New"/>
      <w:szCs w:val="21"/>
    </w:rPr>
  </w:style>
  <w:style w:type="paragraph" w:styleId="3">
    <w:name w:val="footer"/>
    <w:basedOn w:val="1"/>
    <w:link w:val="9"/>
    <w:autoRedefine/>
    <w:unhideWhenUsed/>
    <w:qFormat/>
    <w:uiPriority w:val="0"/>
    <w:pPr>
      <w:tabs>
        <w:tab w:val="center" w:pos="4153"/>
        <w:tab w:val="right" w:pos="8306"/>
      </w:tabs>
      <w:snapToGrid w:val="0"/>
      <w:jc w:val="left"/>
    </w:pPr>
    <w:rPr>
      <w:sz w:val="18"/>
      <w:szCs w:val="18"/>
    </w:rPr>
  </w:style>
  <w:style w:type="paragraph" w:styleId="4">
    <w:name w:val="header"/>
    <w:basedOn w:val="1"/>
    <w:link w:val="8"/>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autoRedefine/>
    <w:uiPriority w:val="0"/>
    <w:rPr>
      <w:rFonts w:ascii="Times New Roman" w:hAnsi="Times New Roman" w:eastAsia="宋体" w:cs="Times New Roman"/>
    </w:rPr>
  </w:style>
  <w:style w:type="character" w:customStyle="1" w:styleId="8">
    <w:name w:val="页眉 Char"/>
    <w:basedOn w:val="6"/>
    <w:link w:val="4"/>
    <w:autoRedefine/>
    <w:semiHidden/>
    <w:qFormat/>
    <w:uiPriority w:val="99"/>
    <w:rPr>
      <w:sz w:val="18"/>
      <w:szCs w:val="18"/>
    </w:rPr>
  </w:style>
  <w:style w:type="character" w:customStyle="1" w:styleId="9">
    <w:name w:val="页脚 Char"/>
    <w:basedOn w:val="6"/>
    <w:link w:val="3"/>
    <w:autoRedefine/>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626</Words>
  <Characters>3573</Characters>
  <Lines>29</Lines>
  <Paragraphs>8</Paragraphs>
  <TotalTime>12</TotalTime>
  <ScaleCrop>false</ScaleCrop>
  <LinksUpToDate>false</LinksUpToDate>
  <CharactersWithSpaces>4191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2024-02-28T07:42:00Z</dcterms:created>
  <dc:creator>夏候飞</dc:creator>
  <cp:lastModifiedBy>Administrator</cp:lastModifiedBy>
  <dcterms:modified xsi:type="dcterms:W3CDTF">2024-03-20T03:10:02Z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12DBDB509811474393FE2C171F7C06CE_13</vt:lpwstr>
  </property>
</Properties>
</file>