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ascii="黑体" w:hAnsi="宋体" w:eastAsia="黑体"/>
          <w:bCs/>
          <w:szCs w:val="32"/>
        </w:rPr>
      </w:pPr>
      <w:r>
        <w:rPr>
          <w:rFonts w:hint="eastAsia" w:ascii="方正小标宋_GBK" w:hAnsi="仿宋" w:eastAsia="方正小标宋_GBK"/>
          <w:sz w:val="44"/>
          <w:szCs w:val="44"/>
        </w:rPr>
        <w:t>兴安县人民检察院</w:t>
      </w:r>
      <w:r>
        <w:rPr>
          <w:rFonts w:hint="eastAsia" w:ascii="方正小标宋简体" w:eastAsia="方正小标宋简体"/>
          <w:sz w:val="44"/>
          <w:szCs w:val="44"/>
        </w:rPr>
        <w:t>2024年部门预算公开说明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rPr>
          <w:rFonts w:hint="eastAsia"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rPr>
          <w:rFonts w:ascii="黑体" w:hAnsi="宋体" w:eastAsia="黑体"/>
          <w:bCs/>
          <w:szCs w:val="32"/>
        </w:rPr>
      </w:pPr>
    </w:p>
    <w:p>
      <w:pPr>
        <w:adjustRightInd w:val="0"/>
        <w:snapToGrid w:val="0"/>
        <w:spacing w:line="560" w:lineRule="exact"/>
        <w:ind w:right="-333" w:rightChars="-104"/>
        <w:rPr>
          <w:rFonts w:hint="eastAsia" w:ascii="黑体" w:eastAsia="黑体"/>
          <w:szCs w:val="32"/>
        </w:rPr>
      </w:pPr>
      <w:r>
        <w:rPr>
          <w:rFonts w:hint="eastAsia" w:ascii="黑体" w:eastAsia="黑体"/>
          <w:szCs w:val="32"/>
        </w:rPr>
        <w:t>第二部分：</w:t>
      </w:r>
      <w:r>
        <w:rPr>
          <w:rFonts w:hint="eastAsia" w:ascii="黑体" w:hAnsi="宋体" w:eastAsia="黑体"/>
          <w:szCs w:val="32"/>
        </w:rPr>
        <w:t xml:space="preserve"> 2024年</w:t>
      </w:r>
      <w:r>
        <w:rPr>
          <w:rFonts w:hint="eastAsia" w:ascii="黑体" w:eastAsia="黑体"/>
          <w:szCs w:val="32"/>
        </w:rPr>
        <w:t>部门预算情况说明</w:t>
      </w:r>
    </w:p>
    <w:p>
      <w:pPr>
        <w:adjustRightInd w:val="0"/>
        <w:snapToGrid w:val="0"/>
        <w:spacing w:line="560" w:lineRule="exact"/>
        <w:ind w:right="-333" w:rightChars="-104"/>
        <w:rPr>
          <w:rFonts w:ascii="黑体" w:hAnsi="宋体" w:eastAsia="黑体"/>
          <w:bCs/>
          <w:szCs w:val="32"/>
        </w:rPr>
      </w:pPr>
    </w:p>
    <w:p>
      <w:pPr>
        <w:adjustRightInd w:val="0"/>
        <w:snapToGrid w:val="0"/>
        <w:spacing w:line="560" w:lineRule="exact"/>
        <w:ind w:right="-333" w:rightChars="-104"/>
        <w:rPr>
          <w:rFonts w:hint="eastAsia" w:ascii="黑体" w:eastAsia="黑体"/>
          <w:szCs w:val="32"/>
        </w:rPr>
      </w:pPr>
      <w:r>
        <w:rPr>
          <w:rFonts w:hint="eastAsia" w:ascii="黑体" w:eastAsia="黑体"/>
          <w:szCs w:val="32"/>
        </w:rPr>
        <w:t>第三部分：名词解释</w:t>
      </w:r>
    </w:p>
    <w:p>
      <w:pPr>
        <w:adjustRightInd w:val="0"/>
        <w:snapToGrid w:val="0"/>
        <w:spacing w:line="560" w:lineRule="exact"/>
        <w:ind w:right="-333" w:rightChars="-104"/>
        <w:rPr>
          <w:rFonts w:ascii="黑体" w:hAnsi="宋体" w:eastAsia="黑体"/>
          <w:bCs/>
          <w:szCs w:val="32"/>
        </w:rPr>
      </w:pPr>
    </w:p>
    <w:p>
      <w:pPr>
        <w:adjustRightInd w:val="0"/>
        <w:snapToGrid w:val="0"/>
        <w:spacing w:line="560" w:lineRule="exact"/>
        <w:ind w:right="-333" w:rightChars="-104"/>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 xml:space="preserve"> 2024年</w:t>
      </w:r>
      <w:r>
        <w:rPr>
          <w:rFonts w:hint="eastAsia" w:ascii="黑体" w:eastAsia="黑体"/>
          <w:szCs w:val="32"/>
        </w:rPr>
        <w:t>部门预算报表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一</w:t>
      </w:r>
      <w:r>
        <w:rPr>
          <w:rFonts w:hint="eastAsia" w:ascii="黑体" w:hAnsi="宋体" w:eastAsia="黑体"/>
          <w:szCs w:val="32"/>
        </w:rPr>
        <w:t>、主要职责</w:t>
      </w:r>
    </w:p>
    <w:p>
      <w:pPr>
        <w:spacing w:line="360" w:lineRule="auto"/>
        <w:ind w:firstLine="160" w:firstLineChars="50"/>
        <w:rPr>
          <w:rFonts w:ascii="仿宋" w:hAnsi="仿宋" w:eastAsia="仿宋" w:cs="仿宋"/>
          <w:szCs w:val="32"/>
        </w:rPr>
      </w:pPr>
      <w:r>
        <w:rPr>
          <w:rFonts w:hint="eastAsia" w:ascii="仿宋" w:hAnsi="仿宋" w:eastAsia="仿宋" w:cs="仿宋"/>
          <w:szCs w:val="32"/>
        </w:rPr>
        <w:t>（一）行政部门及主要职责</w:t>
      </w:r>
    </w:p>
    <w:p>
      <w:pPr>
        <w:spacing w:line="360" w:lineRule="auto"/>
        <w:ind w:firstLine="320" w:firstLineChars="100"/>
        <w:rPr>
          <w:rFonts w:ascii="仿宋" w:hAnsi="仿宋" w:eastAsia="仿宋" w:cs="仿宋"/>
          <w:szCs w:val="32"/>
        </w:rPr>
      </w:pPr>
      <w:r>
        <w:rPr>
          <w:rFonts w:hint="eastAsia" w:ascii="仿宋" w:hAnsi="仿宋" w:eastAsia="仿宋" w:cs="仿宋"/>
          <w:szCs w:val="32"/>
        </w:rPr>
        <w:t xml:space="preserve">1、办公室及主要职责 </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(1)协助院领导处理政务，组织协调院重要工作部署、重大决策的贯彻实施，组织安排机关重要会议和重大活动；</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(2)文件起草；</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(3)管理秘书事务；</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(4)处理检察信息，编发内部刊务；</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(5)处理机要文电；</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(6)人大代表联络工作和特约检察员的联系工作；</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(7)领导同志批办事项的督查工作；检察统计、财务、档案管理、技术、保密工作，进行政策法律方面的调查研究；</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(8)负责检察委员会日常工作。</w:t>
      </w:r>
    </w:p>
    <w:p>
      <w:pPr>
        <w:spacing w:line="360" w:lineRule="auto"/>
        <w:ind w:firstLine="320" w:firstLineChars="100"/>
        <w:rPr>
          <w:rFonts w:ascii="仿宋" w:hAnsi="仿宋" w:eastAsia="仿宋" w:cs="仿宋"/>
          <w:szCs w:val="32"/>
        </w:rPr>
      </w:pPr>
      <w:r>
        <w:rPr>
          <w:rFonts w:hint="eastAsia" w:ascii="仿宋" w:hAnsi="仿宋" w:eastAsia="仿宋" w:cs="仿宋"/>
          <w:szCs w:val="32"/>
        </w:rPr>
        <w:t>2、政治部及主要职责</w:t>
      </w:r>
    </w:p>
    <w:p>
      <w:pPr>
        <w:spacing w:line="360" w:lineRule="auto"/>
        <w:ind w:left="-548" w:leftChars="-172" w:hanging="2"/>
        <w:rPr>
          <w:rFonts w:ascii="仿宋" w:hAnsi="仿宋" w:eastAsia="仿宋" w:cs="仿宋"/>
          <w:szCs w:val="32"/>
        </w:rPr>
      </w:pPr>
      <w:r>
        <w:rPr>
          <w:rFonts w:hint="eastAsia" w:ascii="仿宋" w:hAnsi="仿宋" w:eastAsia="仿宋" w:cs="仿宋"/>
          <w:szCs w:val="32"/>
        </w:rPr>
        <w:t xml:space="preserve">    (1)开展具有检察特色的思想政治工作;</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(2)协助院党组负责本院党的建设和队伍建设工作;</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(3)负责本院机关和直属事业单位的机构设置、人员编制和干部考核、任免、调配、奖励、人事档案及劳动工资等；</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(4)负责检察院对外宣传；</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(5)组织实施检察人员岗位培训及学历教育；</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(6)机关日常党务工作；</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(7)离退休干部的管理工作。</w:t>
      </w:r>
    </w:p>
    <w:p>
      <w:pPr>
        <w:spacing w:line="360" w:lineRule="auto"/>
        <w:ind w:firstLine="320" w:firstLineChars="100"/>
        <w:rPr>
          <w:rFonts w:ascii="仿宋" w:hAnsi="仿宋" w:eastAsia="仿宋" w:cs="仿宋"/>
          <w:szCs w:val="32"/>
        </w:rPr>
      </w:pPr>
      <w:r>
        <w:rPr>
          <w:rFonts w:hint="eastAsia" w:ascii="仿宋" w:hAnsi="仿宋" w:eastAsia="仿宋" w:cs="仿宋"/>
          <w:szCs w:val="32"/>
        </w:rPr>
        <w:t>（二）业务部门及主要职责</w:t>
      </w:r>
    </w:p>
    <w:p>
      <w:pPr>
        <w:spacing w:line="360" w:lineRule="auto"/>
        <w:ind w:firstLine="480" w:firstLineChars="150"/>
        <w:rPr>
          <w:rFonts w:ascii="仿宋" w:hAnsi="仿宋" w:eastAsia="仿宋" w:cs="仿宋"/>
          <w:szCs w:val="32"/>
        </w:rPr>
      </w:pPr>
      <w:r>
        <w:rPr>
          <w:rFonts w:hint="eastAsia" w:ascii="仿宋" w:hAnsi="仿宋" w:eastAsia="仿宋" w:cs="仿宋"/>
          <w:szCs w:val="32"/>
        </w:rPr>
        <w:t>1、第一检察部及主要职责：</w:t>
      </w:r>
    </w:p>
    <w:p>
      <w:pPr>
        <w:spacing w:line="360" w:lineRule="auto"/>
        <w:ind w:firstLine="320" w:firstLineChars="100"/>
        <w:rPr>
          <w:rFonts w:ascii="仿宋" w:hAnsi="仿宋" w:eastAsia="仿宋" w:cs="仿宋"/>
          <w:szCs w:val="32"/>
        </w:rPr>
      </w:pPr>
      <w:r>
        <w:rPr>
          <w:rFonts w:hint="eastAsia" w:ascii="仿宋" w:hAnsi="仿宋" w:eastAsia="仿宋" w:cs="仿宋"/>
          <w:szCs w:val="32"/>
        </w:rPr>
        <w:t>（1）侦查监督业务</w:t>
      </w:r>
    </w:p>
    <w:p>
      <w:pPr>
        <w:spacing w:line="360" w:lineRule="auto"/>
        <w:ind w:left="-547" w:leftChars="-171" w:firstLine="736" w:firstLineChars="230"/>
        <w:rPr>
          <w:rFonts w:ascii="仿宋" w:hAnsi="仿宋" w:eastAsia="仿宋" w:cs="仿宋"/>
          <w:szCs w:val="32"/>
        </w:rPr>
      </w:pPr>
      <w:r>
        <w:rPr>
          <w:rFonts w:hint="eastAsia" w:ascii="仿宋" w:hAnsi="仿宋" w:eastAsia="仿宋" w:cs="仿宋"/>
          <w:szCs w:val="32"/>
        </w:rPr>
        <w:t>负责对公安机关、国家安全机关、监狱、军队保卫部门、海关缉私侦查部门和人民检察院侦查部门提请批准逮捕、决定逮捕的案件审查决定是否逮捕；对公安等侦查部门立案侦查是否合法实行法律监督；对侦查部门提请延长侦查羁押期限的案件决定是否批准；对立案侦查部门应当立案侦查而不立案侦查实施法律监督。</w:t>
      </w:r>
    </w:p>
    <w:p>
      <w:pPr>
        <w:spacing w:line="360" w:lineRule="auto"/>
        <w:ind w:firstLine="160" w:firstLineChars="50"/>
        <w:rPr>
          <w:rFonts w:ascii="仿宋" w:hAnsi="仿宋" w:eastAsia="仿宋" w:cs="仿宋"/>
          <w:szCs w:val="32"/>
        </w:rPr>
      </w:pPr>
      <w:r>
        <w:rPr>
          <w:rFonts w:hint="eastAsia" w:ascii="仿宋" w:hAnsi="仿宋" w:eastAsia="仿宋" w:cs="仿宋"/>
          <w:szCs w:val="32"/>
        </w:rPr>
        <w:t>（2）公诉业务</w:t>
      </w:r>
    </w:p>
    <w:p>
      <w:pPr>
        <w:spacing w:line="360" w:lineRule="auto"/>
        <w:ind w:left="-547" w:leftChars="-171" w:firstLine="180"/>
        <w:rPr>
          <w:rFonts w:ascii="仿宋" w:hAnsi="仿宋" w:eastAsia="仿宋" w:cs="仿宋"/>
          <w:szCs w:val="32"/>
        </w:rPr>
      </w:pPr>
      <w:r>
        <w:rPr>
          <w:rFonts w:hint="eastAsia" w:ascii="仿宋" w:hAnsi="仿宋" w:eastAsia="仿宋" w:cs="仿宋"/>
          <w:szCs w:val="32"/>
        </w:rPr>
        <w:t xml:space="preserve">   负责刑事案件审查起诉，决定起诉不起诉；出庭支持公诉；对人民法院的刑事审判活动是否合法实施法律监督；对确有错误的刑事判决、裁定提起抗诉和出庭支持抗诉。</w:t>
      </w:r>
    </w:p>
    <w:p>
      <w:pPr>
        <w:spacing w:line="360" w:lineRule="auto"/>
        <w:ind w:firstLine="320" w:firstLineChars="100"/>
        <w:rPr>
          <w:rFonts w:ascii="仿宋" w:hAnsi="仿宋" w:eastAsia="仿宋" w:cs="仿宋"/>
          <w:szCs w:val="32"/>
        </w:rPr>
      </w:pPr>
      <w:r>
        <w:rPr>
          <w:rFonts w:hint="eastAsia" w:ascii="仿宋" w:hAnsi="仿宋" w:eastAsia="仿宋" w:cs="仿宋"/>
          <w:szCs w:val="32"/>
        </w:rPr>
        <w:t>2、第二检察部及主要职责：</w:t>
      </w:r>
    </w:p>
    <w:p>
      <w:pPr>
        <w:spacing w:line="360" w:lineRule="auto"/>
        <w:ind w:left="-548" w:leftChars="-172" w:hanging="2"/>
        <w:rPr>
          <w:rFonts w:ascii="仿宋" w:hAnsi="仿宋" w:eastAsia="仿宋" w:cs="仿宋"/>
          <w:szCs w:val="32"/>
        </w:rPr>
      </w:pPr>
      <w:r>
        <w:rPr>
          <w:rFonts w:hint="eastAsia" w:ascii="仿宋" w:hAnsi="仿宋" w:eastAsia="仿宋" w:cs="仿宋"/>
          <w:szCs w:val="32"/>
        </w:rPr>
        <w:t xml:space="preserve">    负责对人民法院的民事、行政案件的审判活动是否合法实施法律监督；对人民法院已发生法律效力的民事、行政判决、裁定确有错误或者违反法定程序可能影响案件正确判决、裁定的，依法提出抗诉等工作。</w:t>
      </w:r>
    </w:p>
    <w:p>
      <w:pPr>
        <w:spacing w:line="360" w:lineRule="auto"/>
        <w:ind w:firstLine="480" w:firstLineChars="150"/>
        <w:rPr>
          <w:rFonts w:ascii="仿宋" w:hAnsi="仿宋" w:eastAsia="仿宋" w:cs="仿宋"/>
          <w:szCs w:val="32"/>
        </w:rPr>
      </w:pPr>
      <w:r>
        <w:rPr>
          <w:rFonts w:hint="eastAsia" w:ascii="仿宋" w:hAnsi="仿宋" w:eastAsia="仿宋" w:cs="仿宋"/>
          <w:szCs w:val="32"/>
        </w:rPr>
        <w:t>3、第三检察部及主要职责：</w:t>
      </w:r>
    </w:p>
    <w:p>
      <w:pPr>
        <w:spacing w:line="360" w:lineRule="auto"/>
        <w:ind w:left="-547" w:leftChars="-171" w:firstLine="624" w:firstLineChars="195"/>
        <w:rPr>
          <w:rFonts w:ascii="仿宋" w:hAnsi="仿宋" w:eastAsia="仿宋" w:cs="仿宋"/>
          <w:szCs w:val="32"/>
        </w:rPr>
      </w:pPr>
      <w:r>
        <w:rPr>
          <w:rFonts w:hint="eastAsia" w:ascii="仿宋" w:hAnsi="仿宋" w:eastAsia="仿宋" w:cs="仿宋"/>
          <w:szCs w:val="32"/>
        </w:rPr>
        <w:t xml:space="preserve">（１）控告申诉检察业务（举报中心、刑事赔偿工作办公室）。  </w:t>
      </w:r>
    </w:p>
    <w:p>
      <w:pPr>
        <w:spacing w:line="360" w:lineRule="auto"/>
        <w:ind w:left="-547" w:leftChars="-171" w:firstLine="704" w:firstLineChars="220"/>
        <w:rPr>
          <w:rFonts w:ascii="仿宋" w:hAnsi="仿宋" w:eastAsia="仿宋" w:cs="仿宋"/>
          <w:szCs w:val="32"/>
        </w:rPr>
      </w:pPr>
      <w:r>
        <w:rPr>
          <w:rFonts w:hint="eastAsia" w:ascii="仿宋" w:hAnsi="仿宋" w:eastAsia="仿宋" w:cs="仿宋"/>
          <w:szCs w:val="32"/>
        </w:rPr>
        <w:t>负责受理公民的报案、举报、检举和控告；对举报线索进行分流，对检察机关管辖的不明、难以归口处理的举报案件线索进行初查；综合反映控告和举报情况；受理公民的刑事申诉；受理服刑罪犯及其法定代理人、近亲属的申诉；负责受理不服人民检察院不批准逮捕、不起诉、撤销案件及其他处理决定的申诉；承办由本院管辖的刑事申诉案件和刑事赔偿案件。</w:t>
      </w:r>
    </w:p>
    <w:p>
      <w:pPr>
        <w:spacing w:line="360" w:lineRule="auto"/>
        <w:ind w:firstLine="320" w:firstLineChars="100"/>
        <w:rPr>
          <w:rFonts w:ascii="仿宋" w:hAnsi="仿宋" w:eastAsia="仿宋" w:cs="仿宋"/>
          <w:szCs w:val="32"/>
        </w:rPr>
      </w:pPr>
      <w:r>
        <w:rPr>
          <w:rFonts w:hint="eastAsia" w:ascii="仿宋" w:hAnsi="仿宋" w:eastAsia="仿宋" w:cs="仿宋"/>
          <w:szCs w:val="32"/>
        </w:rPr>
        <w:t>（2） 案件管理业务</w:t>
      </w:r>
    </w:p>
    <w:p>
      <w:pPr>
        <w:spacing w:line="360" w:lineRule="auto"/>
        <w:ind w:left="-547" w:leftChars="-171" w:firstLine="720" w:firstLineChars="225"/>
        <w:rPr>
          <w:rFonts w:ascii="仿宋" w:hAnsi="仿宋" w:eastAsia="仿宋" w:cs="仿宋"/>
          <w:szCs w:val="32"/>
        </w:rPr>
      </w:pPr>
      <w:r>
        <w:rPr>
          <w:rFonts w:hint="eastAsia" w:ascii="仿宋" w:hAnsi="仿宋" w:eastAsia="仿宋" w:cs="仿宋"/>
          <w:szCs w:val="32"/>
        </w:rPr>
        <w:t>是专门负责案件管理工作的综合性内设业务机构，主要职能是对检察机关办理的案件实行统一受理、流程监控、案后评查、统计分析、信息查询、综合考评等,对办案期限、办案程序、办案质量等进行管理、监督、预警。在案件管理中主要承担管理、监督、服务、参谋的职能。管理职能，主要是通过对重要办案节点的掌握，监控案件流程，加强统筹协调，保障案件质量和效率。监督职能，主要是通过对办案程序和办案期限的跟踪、监控以及质量评查，预防和纠正违法办案情形的发生。服务职能，主要是通过承担一定的与管理有关的事务性工作，保障办案活动高效运行，保障诉讼参与人的诉讼权利。参谋职能，主要是通过对案件管理中的相关信息进行统计分析，提出改进工作的意见和建议，发挥决策辅助作用。</w:t>
      </w:r>
    </w:p>
    <w:p>
      <w:pPr>
        <w:spacing w:line="360" w:lineRule="auto"/>
        <w:ind w:firstLine="320" w:firstLineChars="100"/>
        <w:rPr>
          <w:rFonts w:ascii="仿宋" w:hAnsi="仿宋" w:eastAsia="仿宋" w:cs="仿宋"/>
          <w:szCs w:val="32"/>
        </w:rPr>
      </w:pPr>
      <w:r>
        <w:rPr>
          <w:rFonts w:hint="eastAsia" w:ascii="仿宋" w:hAnsi="仿宋" w:eastAsia="仿宋" w:cs="仿宋"/>
          <w:szCs w:val="32"/>
        </w:rPr>
        <w:t>（3）监所检察业务</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负责对刑事判决、裁定的执行和监管活动实行法律监督；对监狱内的职务犯罪直接立案侦查；对服刑人员的又犯罪案件和劳教人员的犯罪案件审查批捕、提起公诉等工作。</w:t>
      </w:r>
    </w:p>
    <w:p>
      <w:pPr>
        <w:spacing w:line="360" w:lineRule="auto"/>
        <w:ind w:firstLine="320" w:firstLineChars="100"/>
        <w:rPr>
          <w:rFonts w:ascii="仿宋" w:hAnsi="仿宋" w:eastAsia="仿宋" w:cs="仿宋"/>
          <w:szCs w:val="32"/>
        </w:rPr>
      </w:pPr>
      <w:r>
        <w:rPr>
          <w:rFonts w:hint="eastAsia" w:ascii="仿宋" w:hAnsi="仿宋" w:eastAsia="仿宋" w:cs="仿宋"/>
          <w:szCs w:val="32"/>
        </w:rPr>
        <w:t>（4）职务犯罪预防科。</w:t>
      </w:r>
    </w:p>
    <w:p>
      <w:pPr>
        <w:spacing w:line="360" w:lineRule="auto"/>
        <w:ind w:left="-547" w:leftChars="-171"/>
        <w:rPr>
          <w:rFonts w:ascii="仿宋" w:hAnsi="仿宋" w:eastAsia="仿宋" w:cs="仿宋"/>
          <w:szCs w:val="32"/>
        </w:rPr>
      </w:pPr>
      <w:r>
        <w:rPr>
          <w:rFonts w:hint="eastAsia" w:ascii="仿宋" w:hAnsi="仿宋" w:eastAsia="仿宋" w:cs="仿宋"/>
          <w:szCs w:val="32"/>
        </w:rPr>
        <w:t xml:space="preserve">    进行法律宣传，结合案件对可能发生犯罪的情况提出检察建议，指导有关单位开展预防职务犯罪工作。</w:t>
      </w:r>
    </w:p>
    <w:p>
      <w:pPr>
        <w:spacing w:line="360" w:lineRule="auto"/>
        <w:rPr>
          <w:rFonts w:ascii="仿宋" w:hAnsi="仿宋" w:eastAsia="仿宋" w:cs="仿宋"/>
          <w:szCs w:val="32"/>
        </w:rPr>
      </w:pPr>
      <w:r>
        <w:rPr>
          <w:rFonts w:hint="eastAsia" w:ascii="仿宋" w:hAnsi="仿宋" w:eastAsia="仿宋" w:cs="仿宋"/>
          <w:szCs w:val="32"/>
        </w:rPr>
        <w:t>（5）法律、政策研究室。</w:t>
      </w:r>
    </w:p>
    <w:p>
      <w:pPr>
        <w:spacing w:line="360" w:lineRule="auto"/>
        <w:ind w:left="-589" w:leftChars="-514" w:hanging="1056" w:hangingChars="330"/>
        <w:rPr>
          <w:rFonts w:ascii="仿宋" w:hAnsi="仿宋" w:eastAsia="仿宋" w:cs="仿宋"/>
          <w:szCs w:val="32"/>
        </w:rPr>
      </w:pPr>
      <w:r>
        <w:rPr>
          <w:rFonts w:hint="eastAsia" w:ascii="仿宋" w:hAnsi="仿宋" w:eastAsia="仿宋" w:cs="仿宋"/>
          <w:szCs w:val="32"/>
        </w:rPr>
        <w:t xml:space="preserve">           协助检察长和检察委员会解决法律政策适用的疑难和重大疑难案件等问题。</w:t>
      </w:r>
    </w:p>
    <w:p>
      <w:pPr>
        <w:spacing w:line="360" w:lineRule="auto"/>
        <w:rPr>
          <w:rFonts w:ascii="仿宋" w:hAnsi="仿宋" w:eastAsia="仿宋" w:cs="仿宋"/>
          <w:szCs w:val="32"/>
        </w:rPr>
      </w:pPr>
      <w:r>
        <w:rPr>
          <w:rFonts w:hint="eastAsia" w:ascii="仿宋" w:hAnsi="仿宋" w:eastAsia="仿宋" w:cs="仿宋"/>
          <w:szCs w:val="32"/>
        </w:rPr>
        <w:t>（6）检察技术科。</w:t>
      </w:r>
    </w:p>
    <w:p>
      <w:pPr>
        <w:spacing w:line="360" w:lineRule="auto"/>
        <w:rPr>
          <w:rFonts w:ascii="仿宋" w:hAnsi="仿宋" w:eastAsia="仿宋" w:cs="仿宋"/>
          <w:szCs w:val="32"/>
        </w:rPr>
      </w:pPr>
      <w:r>
        <w:rPr>
          <w:rFonts w:hint="eastAsia" w:ascii="仿宋" w:hAnsi="仿宋" w:eastAsia="仿宋" w:cs="仿宋"/>
          <w:szCs w:val="32"/>
        </w:rPr>
        <w:t>负责对案件证据进行技术检验、鉴定、复核等。</w:t>
      </w:r>
    </w:p>
    <w:p>
      <w:pPr>
        <w:spacing w:line="360" w:lineRule="auto"/>
        <w:rPr>
          <w:rFonts w:ascii="仿宋" w:hAnsi="仿宋" w:eastAsia="仿宋" w:cs="仿宋"/>
          <w:szCs w:val="32"/>
        </w:rPr>
      </w:pPr>
      <w:r>
        <w:rPr>
          <w:rFonts w:hint="eastAsia" w:ascii="仿宋" w:hAnsi="仿宋" w:eastAsia="仿宋" w:cs="仿宋"/>
          <w:szCs w:val="32"/>
        </w:rPr>
        <w:t>（7）司法警察大队。</w:t>
      </w:r>
    </w:p>
    <w:p>
      <w:pPr>
        <w:spacing w:line="586" w:lineRule="exact"/>
        <w:ind w:firstLine="627" w:firstLineChars="196"/>
        <w:rPr>
          <w:rFonts w:ascii="仿宋" w:hAnsi="仿宋" w:eastAsia="仿宋" w:cs="仿宋"/>
          <w:szCs w:val="32"/>
        </w:rPr>
      </w:pPr>
      <w:r>
        <w:rPr>
          <w:rFonts w:hint="eastAsia" w:ascii="仿宋" w:hAnsi="仿宋" w:eastAsia="仿宋" w:cs="仿宋"/>
          <w:szCs w:val="32"/>
        </w:rPr>
        <w:t>承担检察机关主办案件的犯罪嫌疑人的提讯、看管和羁押工作；承担检察机关的安全保卫工作。</w:t>
      </w:r>
    </w:p>
    <w:p>
      <w:pPr>
        <w:spacing w:line="586" w:lineRule="exact"/>
        <w:ind w:firstLine="627" w:firstLineChars="196"/>
        <w:rPr>
          <w:rFonts w:ascii="仿宋" w:hAnsi="仿宋" w:eastAsia="仿宋" w:cs="仿宋"/>
          <w:szCs w:val="32"/>
        </w:rPr>
      </w:pPr>
      <w:r>
        <w:rPr>
          <w:rFonts w:hint="eastAsia" w:ascii="黑体" w:hAnsi="宋体" w:eastAsia="黑体"/>
          <w:szCs w:val="32"/>
        </w:rPr>
        <w:t>二、机构设置情况</w:t>
      </w:r>
    </w:p>
    <w:p>
      <w:pPr>
        <w:spacing w:line="360" w:lineRule="auto"/>
        <w:rPr>
          <w:rFonts w:ascii="仿宋" w:hAnsi="仿宋" w:eastAsia="仿宋" w:cs="仿宋"/>
          <w:szCs w:val="32"/>
        </w:rPr>
      </w:pPr>
      <w:r>
        <w:rPr>
          <w:rFonts w:hint="eastAsia" w:ascii="仿宋" w:hAnsi="仿宋" w:eastAsia="仿宋" w:cs="仿宋"/>
          <w:szCs w:val="32"/>
        </w:rPr>
        <w:t xml:space="preserve">    构成主要分为以下两大部分，都属检察院内设部门具体如下：</w:t>
      </w:r>
    </w:p>
    <w:p>
      <w:pPr>
        <w:spacing w:line="360" w:lineRule="auto"/>
        <w:ind w:firstLine="640" w:firstLineChars="200"/>
        <w:rPr>
          <w:rFonts w:ascii="仿宋" w:hAnsi="仿宋" w:eastAsia="仿宋" w:cs="仿宋"/>
          <w:szCs w:val="32"/>
        </w:rPr>
      </w:pPr>
      <w:r>
        <w:rPr>
          <w:rFonts w:hint="eastAsia" w:ascii="仿宋" w:hAnsi="仿宋" w:eastAsia="仿宋" w:cs="仿宋"/>
          <w:szCs w:val="32"/>
        </w:rPr>
        <w:t>（一）行政部门，主要管理全院后勤保障工作，包括以下两个部门：1、办公室 。 2、政治部。</w:t>
      </w:r>
    </w:p>
    <w:p>
      <w:pPr>
        <w:spacing w:line="586" w:lineRule="exact"/>
        <w:ind w:firstLine="627" w:firstLineChars="196"/>
        <w:rPr>
          <w:rFonts w:eastAsia="黑体"/>
          <w:szCs w:val="32"/>
        </w:rPr>
      </w:pPr>
      <w:r>
        <w:rPr>
          <w:rFonts w:hint="eastAsia" w:ascii="仿宋" w:hAnsi="仿宋" w:eastAsia="仿宋" w:cs="仿宋"/>
          <w:szCs w:val="32"/>
        </w:rPr>
        <w:t>（二）业务部门，主要办理各类案板，实行法律监督，业务部门包括以下3个部门：１、第一检察部。2、第二检察部。3、第三检察部。</w:t>
      </w:r>
    </w:p>
    <w:p>
      <w:pPr>
        <w:autoSpaceDE w:val="0"/>
        <w:autoSpaceDN w:val="0"/>
        <w:adjustRightInd w:val="0"/>
        <w:spacing w:line="586" w:lineRule="exact"/>
        <w:ind w:left="16" w:leftChars="5" w:firstLine="627" w:firstLineChars="196"/>
        <w:rPr>
          <w:rFonts w:hint="eastAsia" w:ascii="黑体" w:eastAsia="黑体"/>
          <w:szCs w:val="32"/>
        </w:rPr>
      </w:pPr>
    </w:p>
    <w:p>
      <w:pPr>
        <w:autoSpaceDE w:val="0"/>
        <w:autoSpaceDN w:val="0"/>
        <w:adjustRightInd w:val="0"/>
        <w:spacing w:line="586" w:lineRule="exact"/>
        <w:ind w:left="16" w:leftChars="5" w:firstLine="627" w:firstLineChars="196"/>
        <w:rPr>
          <w:rFonts w:ascii="仿宋_GB2312" w:hAnsi="仿宋_GB2312" w:cs="仿宋_GB2312"/>
          <w:szCs w:val="32"/>
          <w:u w:val="single"/>
        </w:rPr>
      </w:pPr>
      <w:r>
        <w:rPr>
          <w:rFonts w:hint="eastAsia" w:ascii="黑体" w:eastAsia="黑体"/>
          <w:szCs w:val="32"/>
        </w:rPr>
        <w:t>第二部分：</w:t>
      </w:r>
      <w:r>
        <w:rPr>
          <w:rFonts w:hint="eastAsia" w:hAnsi="黑体" w:eastAsia="黑体"/>
          <w:szCs w:val="32"/>
        </w:rPr>
        <w:t>兴安县人民检察院</w:t>
      </w:r>
      <w:r>
        <w:rPr>
          <w:rFonts w:eastAsia="黑体"/>
          <w:szCs w:val="32"/>
        </w:rPr>
        <w:t>202</w:t>
      </w:r>
      <w:r>
        <w:rPr>
          <w:rFonts w:hint="eastAsia" w:eastAsia="黑体"/>
          <w:szCs w:val="32"/>
        </w:rPr>
        <w:t>4</w:t>
      </w:r>
      <w:r>
        <w:rPr>
          <w:rFonts w:hAnsi="黑体" w:eastAsia="黑体"/>
          <w:szCs w:val="32"/>
        </w:rPr>
        <w:t>年部门预算情况说明</w:t>
      </w:r>
    </w:p>
    <w:p>
      <w:pPr>
        <w:tabs>
          <w:tab w:val="center" w:pos="4475"/>
        </w:tabs>
        <w:spacing w:line="560" w:lineRule="exact"/>
        <w:ind w:firstLine="645"/>
        <w:rPr>
          <w:rFonts w:ascii="黑体" w:eastAsia="黑体"/>
          <w:szCs w:val="32"/>
        </w:rPr>
      </w:pPr>
      <w:r>
        <w:rPr>
          <w:rFonts w:hint="eastAsia" w:ascii="黑体" w:eastAsia="黑体"/>
          <w:szCs w:val="32"/>
        </w:rPr>
        <w:t>一、部门收支总体情况说明</w:t>
      </w:r>
    </w:p>
    <w:p>
      <w:pPr>
        <w:tabs>
          <w:tab w:val="center" w:pos="4475"/>
        </w:tabs>
        <w:spacing w:line="560" w:lineRule="exact"/>
        <w:ind w:firstLine="645"/>
        <w:rPr>
          <w:rFonts w:ascii="仿宋_GB2312"/>
          <w:szCs w:val="32"/>
        </w:rPr>
      </w:pPr>
      <w:r>
        <w:rPr>
          <w:rFonts w:hint="eastAsia" w:ascii="仿宋_GB2312" w:hAnsi="宋体"/>
          <w:szCs w:val="32"/>
        </w:rPr>
        <w:t>我部门</w:t>
      </w:r>
      <w:r>
        <w:rPr>
          <w:rFonts w:hint="eastAsia" w:ascii="仿宋_GB2312"/>
          <w:szCs w:val="32"/>
        </w:rPr>
        <w:t>总收入</w:t>
      </w:r>
      <w:r>
        <w:rPr>
          <w:rFonts w:ascii="仿宋_GB2312"/>
          <w:szCs w:val="32"/>
        </w:rPr>
        <w:t>1</w:t>
      </w:r>
      <w:r>
        <w:rPr>
          <w:rFonts w:hint="eastAsia" w:ascii="仿宋_GB2312"/>
          <w:szCs w:val="32"/>
        </w:rPr>
        <w:t>，</w:t>
      </w:r>
      <w:r>
        <w:rPr>
          <w:rFonts w:ascii="仿宋_GB2312"/>
          <w:szCs w:val="32"/>
        </w:rPr>
        <w:t>021</w:t>
      </w:r>
      <w:r>
        <w:rPr>
          <w:rFonts w:hint="eastAsia" w:ascii="仿宋_GB2312"/>
          <w:szCs w:val="32"/>
        </w:rPr>
        <w:t>.</w:t>
      </w:r>
      <w:r>
        <w:rPr>
          <w:rFonts w:ascii="仿宋_GB2312"/>
          <w:szCs w:val="32"/>
        </w:rPr>
        <w:t>7</w:t>
      </w:r>
      <w:r>
        <w:rPr>
          <w:rFonts w:hint="eastAsia" w:ascii="仿宋_GB2312"/>
          <w:szCs w:val="32"/>
        </w:rPr>
        <w:t>1万元，总支出</w:t>
      </w:r>
      <w:r>
        <w:rPr>
          <w:rFonts w:ascii="仿宋_GB2312"/>
          <w:szCs w:val="32"/>
        </w:rPr>
        <w:t>1</w:t>
      </w:r>
      <w:r>
        <w:rPr>
          <w:rFonts w:hint="eastAsia" w:ascii="仿宋_GB2312"/>
          <w:szCs w:val="32"/>
        </w:rPr>
        <w:t>，</w:t>
      </w:r>
      <w:r>
        <w:rPr>
          <w:rFonts w:ascii="仿宋_GB2312"/>
          <w:szCs w:val="32"/>
        </w:rPr>
        <w:t>021</w:t>
      </w:r>
      <w:r>
        <w:rPr>
          <w:rFonts w:hint="eastAsia" w:ascii="仿宋_GB2312"/>
          <w:szCs w:val="32"/>
        </w:rPr>
        <w:t>.</w:t>
      </w:r>
      <w:r>
        <w:rPr>
          <w:rFonts w:ascii="仿宋_GB2312"/>
          <w:szCs w:val="32"/>
        </w:rPr>
        <w:t>7</w:t>
      </w:r>
      <w:r>
        <w:rPr>
          <w:rFonts w:hint="eastAsia" w:ascii="仿宋_GB2312"/>
          <w:szCs w:val="32"/>
        </w:rPr>
        <w:t>1万元（不含财政拨款上年未列支结转收支数）。总收入较上年增长45.21万元，增长4.63%，主要原因是年底绩效上年由县财政发放，今年由市财政发放。总支出较上年增长45.21万元，增长4.63%，主要原因是年底绩效上年由县财政发放，今年由市财政发放。</w:t>
      </w:r>
    </w:p>
    <w:p>
      <w:pPr>
        <w:tabs>
          <w:tab w:val="center" w:pos="4475"/>
        </w:tabs>
        <w:spacing w:line="560" w:lineRule="exact"/>
        <w:ind w:firstLine="645"/>
        <w:rPr>
          <w:rFonts w:ascii="黑体" w:eastAsia="黑体"/>
          <w:szCs w:val="32"/>
        </w:rPr>
      </w:pPr>
      <w:r>
        <w:rPr>
          <w:rFonts w:hint="eastAsia" w:ascii="黑体" w:eastAsia="黑体"/>
          <w:szCs w:val="32"/>
        </w:rPr>
        <w:t>二、部门收入总体情况说明</w:t>
      </w:r>
    </w:p>
    <w:p>
      <w:pPr>
        <w:tabs>
          <w:tab w:val="center" w:pos="4475"/>
        </w:tabs>
        <w:spacing w:line="560" w:lineRule="exact"/>
        <w:ind w:firstLine="645"/>
        <w:rPr>
          <w:rFonts w:ascii="仿宋_GB2312"/>
          <w:szCs w:val="32"/>
        </w:rPr>
      </w:pPr>
      <w:r>
        <w:rPr>
          <w:rFonts w:hint="eastAsia" w:ascii="仿宋_GB2312" w:hAnsi="宋体"/>
          <w:szCs w:val="32"/>
        </w:rPr>
        <w:t>我部门</w:t>
      </w:r>
      <w:r>
        <w:rPr>
          <w:rFonts w:hint="eastAsia" w:ascii="仿宋_GB2312"/>
          <w:szCs w:val="32"/>
        </w:rPr>
        <w:t>总收入</w:t>
      </w:r>
      <w:r>
        <w:rPr>
          <w:rFonts w:ascii="仿宋_GB2312"/>
          <w:szCs w:val="32"/>
        </w:rPr>
        <w:t>1</w:t>
      </w:r>
      <w:r>
        <w:rPr>
          <w:rFonts w:hint="eastAsia" w:ascii="仿宋_GB2312"/>
          <w:szCs w:val="32"/>
        </w:rPr>
        <w:t>，</w:t>
      </w:r>
      <w:r>
        <w:rPr>
          <w:rFonts w:ascii="仿宋_GB2312"/>
          <w:szCs w:val="32"/>
        </w:rPr>
        <w:t>021</w:t>
      </w:r>
      <w:r>
        <w:rPr>
          <w:rFonts w:hint="eastAsia" w:ascii="仿宋_GB2312"/>
          <w:szCs w:val="32"/>
        </w:rPr>
        <w:t>.</w:t>
      </w:r>
      <w:r>
        <w:rPr>
          <w:rFonts w:ascii="仿宋_GB2312"/>
          <w:szCs w:val="32"/>
        </w:rPr>
        <w:t>7</w:t>
      </w:r>
      <w:r>
        <w:rPr>
          <w:rFonts w:hint="eastAsia" w:ascii="仿宋_GB2312"/>
          <w:szCs w:val="32"/>
        </w:rPr>
        <w:t>1万元，较上年增长45.21万元，增长4.63%，主要原因是年底绩效上年由县财政发放，今年由市财政发放。</w:t>
      </w:r>
    </w:p>
    <w:p>
      <w:pPr>
        <w:tabs>
          <w:tab w:val="center" w:pos="4475"/>
        </w:tabs>
        <w:spacing w:line="560" w:lineRule="exact"/>
        <w:ind w:firstLine="645"/>
        <w:rPr>
          <w:rFonts w:ascii="黑体" w:eastAsia="黑体"/>
          <w:szCs w:val="32"/>
        </w:rPr>
      </w:pPr>
      <w:r>
        <w:rPr>
          <w:rFonts w:hint="eastAsia" w:ascii="黑体" w:eastAsia="黑体"/>
          <w:szCs w:val="32"/>
        </w:rPr>
        <w:t>三、部门支出总体情况说明</w:t>
      </w:r>
    </w:p>
    <w:p>
      <w:pPr>
        <w:tabs>
          <w:tab w:val="center" w:pos="4475"/>
        </w:tabs>
        <w:spacing w:line="560" w:lineRule="exact"/>
        <w:ind w:firstLine="645"/>
        <w:rPr>
          <w:rFonts w:ascii="仿宋_GB2312"/>
          <w:szCs w:val="32"/>
        </w:rPr>
      </w:pPr>
      <w:r>
        <w:rPr>
          <w:rFonts w:hint="eastAsia" w:ascii="仿宋_GB2312" w:hAnsi="宋体"/>
          <w:szCs w:val="32"/>
        </w:rPr>
        <w:t>我部门</w:t>
      </w:r>
      <w:r>
        <w:rPr>
          <w:rFonts w:hint="eastAsia" w:ascii="仿宋_GB2312"/>
          <w:szCs w:val="32"/>
        </w:rPr>
        <w:t>总支出</w:t>
      </w:r>
      <w:r>
        <w:rPr>
          <w:rFonts w:ascii="仿宋_GB2312"/>
          <w:szCs w:val="32"/>
        </w:rPr>
        <w:t>1</w:t>
      </w:r>
      <w:r>
        <w:rPr>
          <w:rFonts w:hint="eastAsia" w:ascii="仿宋_GB2312"/>
          <w:szCs w:val="32"/>
        </w:rPr>
        <w:t>，</w:t>
      </w:r>
      <w:r>
        <w:rPr>
          <w:rFonts w:ascii="仿宋_GB2312"/>
          <w:szCs w:val="32"/>
        </w:rPr>
        <w:t>021</w:t>
      </w:r>
      <w:r>
        <w:rPr>
          <w:rFonts w:hint="eastAsia" w:ascii="仿宋_GB2312"/>
          <w:szCs w:val="32"/>
        </w:rPr>
        <w:t>.</w:t>
      </w:r>
      <w:r>
        <w:rPr>
          <w:rFonts w:ascii="仿宋_GB2312"/>
          <w:szCs w:val="32"/>
        </w:rPr>
        <w:t>7</w:t>
      </w:r>
      <w:r>
        <w:rPr>
          <w:rFonts w:hint="eastAsia" w:ascii="仿宋_GB2312"/>
          <w:szCs w:val="32"/>
        </w:rPr>
        <w:t>1万元，较上年增长45.21万元，增长4.63%，主要原因是年底绩效上年由县财政发放，今年由市财政发放。</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tabs>
          <w:tab w:val="center" w:pos="4475"/>
        </w:tabs>
        <w:spacing w:line="560" w:lineRule="exact"/>
        <w:ind w:firstLine="645"/>
        <w:rPr>
          <w:rFonts w:ascii="仿宋_GB2312"/>
          <w:szCs w:val="32"/>
        </w:rPr>
      </w:pPr>
      <w:r>
        <w:rPr>
          <w:rFonts w:hint="eastAsia" w:ascii="仿宋_GB2312" w:hAnsi="宋体"/>
          <w:szCs w:val="32"/>
        </w:rPr>
        <w:t>我部门</w:t>
      </w:r>
      <w:r>
        <w:rPr>
          <w:rFonts w:hint="eastAsia" w:ascii="仿宋_GB2312"/>
          <w:szCs w:val="32"/>
        </w:rPr>
        <w:t>财政拨款总收入</w:t>
      </w:r>
      <w:r>
        <w:rPr>
          <w:rFonts w:ascii="仿宋_GB2312"/>
          <w:szCs w:val="32"/>
        </w:rPr>
        <w:t>1</w:t>
      </w:r>
      <w:r>
        <w:rPr>
          <w:rFonts w:hint="eastAsia" w:ascii="仿宋_GB2312"/>
          <w:szCs w:val="32"/>
        </w:rPr>
        <w:t>，</w:t>
      </w:r>
      <w:r>
        <w:rPr>
          <w:rFonts w:ascii="仿宋_GB2312"/>
          <w:szCs w:val="32"/>
        </w:rPr>
        <w:t>021</w:t>
      </w:r>
      <w:r>
        <w:rPr>
          <w:rFonts w:hint="eastAsia" w:ascii="仿宋_GB2312"/>
          <w:szCs w:val="32"/>
        </w:rPr>
        <w:t>.</w:t>
      </w:r>
      <w:r>
        <w:rPr>
          <w:rFonts w:ascii="仿宋_GB2312"/>
          <w:szCs w:val="32"/>
        </w:rPr>
        <w:t>7</w:t>
      </w:r>
      <w:r>
        <w:rPr>
          <w:rFonts w:hint="eastAsia" w:ascii="仿宋_GB2312"/>
          <w:szCs w:val="32"/>
        </w:rPr>
        <w:t>1万元，总支出</w:t>
      </w:r>
      <w:r>
        <w:rPr>
          <w:rFonts w:ascii="仿宋_GB2312"/>
          <w:szCs w:val="32"/>
        </w:rPr>
        <w:t>1</w:t>
      </w:r>
      <w:r>
        <w:rPr>
          <w:rFonts w:hint="eastAsia" w:ascii="仿宋_GB2312"/>
          <w:szCs w:val="32"/>
        </w:rPr>
        <w:t>，</w:t>
      </w:r>
      <w:r>
        <w:rPr>
          <w:rFonts w:ascii="仿宋_GB2312"/>
          <w:szCs w:val="32"/>
        </w:rPr>
        <w:t>021</w:t>
      </w:r>
      <w:r>
        <w:rPr>
          <w:rFonts w:hint="eastAsia" w:ascii="仿宋_GB2312"/>
          <w:szCs w:val="32"/>
        </w:rPr>
        <w:t>.</w:t>
      </w:r>
      <w:r>
        <w:rPr>
          <w:rFonts w:ascii="仿宋_GB2312"/>
          <w:szCs w:val="32"/>
        </w:rPr>
        <w:t>7</w:t>
      </w:r>
      <w:r>
        <w:rPr>
          <w:rFonts w:hint="eastAsia" w:ascii="仿宋_GB2312"/>
          <w:szCs w:val="32"/>
        </w:rPr>
        <w:t>1万元（不含财政拨款上年未列支结转收支数）。财政拨款总收入较上年增长较上年增长45.21万元，增长4.63%，主要原因是年底绩效上年由县财政发放，今年由市财政发放。</w:t>
      </w:r>
    </w:p>
    <w:p>
      <w:pPr>
        <w:tabs>
          <w:tab w:val="center" w:pos="4475"/>
        </w:tabs>
        <w:spacing w:line="560" w:lineRule="exact"/>
        <w:ind w:firstLine="645"/>
        <w:rPr>
          <w:rFonts w:ascii="仿宋_GB2312"/>
          <w:szCs w:val="32"/>
        </w:rPr>
      </w:pPr>
      <w:r>
        <w:rPr>
          <w:rFonts w:hint="eastAsia" w:ascii="仿宋_GB2312"/>
          <w:szCs w:val="32"/>
        </w:rPr>
        <w:t>财政拨款总支出较上年增长较上年增长45.21万元，增长4.63%，主要原因是年底绩效上年由县财政发放，今年由市财政发放。</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widowControl/>
        <w:shd w:val="clear" w:color="auto" w:fill="FFFFFF"/>
        <w:spacing w:line="360" w:lineRule="auto"/>
        <w:ind w:firstLine="800" w:firstLineChars="250"/>
        <w:jc w:val="left"/>
        <w:rPr>
          <w:rFonts w:ascii="仿宋_GB2312"/>
          <w:szCs w:val="32"/>
        </w:rPr>
      </w:pPr>
      <w:r>
        <w:rPr>
          <w:rFonts w:hint="eastAsia" w:ascii="仿宋_GB2312"/>
          <w:szCs w:val="32"/>
        </w:rPr>
        <w:t>我部门一般公共预算支出共</w:t>
      </w:r>
      <w:r>
        <w:rPr>
          <w:rFonts w:ascii="仿宋_GB2312"/>
          <w:szCs w:val="32"/>
        </w:rPr>
        <w:t>1</w:t>
      </w:r>
      <w:r>
        <w:rPr>
          <w:rFonts w:hint="eastAsia" w:ascii="仿宋_GB2312"/>
          <w:szCs w:val="32"/>
        </w:rPr>
        <w:t>，</w:t>
      </w:r>
      <w:r>
        <w:rPr>
          <w:rFonts w:ascii="仿宋_GB2312"/>
          <w:szCs w:val="32"/>
        </w:rPr>
        <w:t>021</w:t>
      </w:r>
      <w:r>
        <w:rPr>
          <w:rFonts w:hint="eastAsia" w:ascii="仿宋_GB2312"/>
          <w:szCs w:val="32"/>
        </w:rPr>
        <w:t>.</w:t>
      </w:r>
      <w:r>
        <w:rPr>
          <w:rFonts w:ascii="仿宋_GB2312"/>
          <w:szCs w:val="32"/>
        </w:rPr>
        <w:t>7</w:t>
      </w:r>
      <w:r>
        <w:rPr>
          <w:rFonts w:hint="eastAsia" w:ascii="仿宋_GB2312"/>
          <w:szCs w:val="32"/>
        </w:rPr>
        <w:t>1万元，较上年增长较上年增长45.21万元，增长4.63%，主要原因是年底绩效上年由县财政发放，今年由市财政发放。</w:t>
      </w:r>
      <w:r>
        <w:rPr>
          <w:rFonts w:ascii="仿宋_GB2312"/>
          <w:szCs w:val="32"/>
        </w:rPr>
        <w:t>中央提前下达202</w:t>
      </w:r>
      <w:r>
        <w:rPr>
          <w:rFonts w:hint="eastAsia" w:ascii="仿宋_GB2312"/>
          <w:szCs w:val="32"/>
        </w:rPr>
        <w:t>4</w:t>
      </w:r>
      <w:r>
        <w:rPr>
          <w:rFonts w:ascii="仿宋_GB2312"/>
          <w:szCs w:val="32"/>
        </w:rPr>
        <w:t>年</w:t>
      </w:r>
      <w:r>
        <w:rPr>
          <w:rFonts w:hint="eastAsia" w:ascii="仿宋_GB2312"/>
          <w:szCs w:val="32"/>
        </w:rPr>
        <w:t>一般公共预算</w:t>
      </w:r>
      <w:r>
        <w:rPr>
          <w:rFonts w:ascii="仿宋_GB2312"/>
          <w:szCs w:val="32"/>
        </w:rPr>
        <w:t>转移支付资金安排的支出</w:t>
      </w:r>
      <w:r>
        <w:rPr>
          <w:rFonts w:hint="eastAsia" w:ascii="仿宋_GB2312"/>
          <w:szCs w:val="32"/>
        </w:rPr>
        <w:t>0万元，同比减少175万元，减少100%，</w:t>
      </w:r>
      <w:r>
        <w:rPr>
          <w:szCs w:val="32"/>
        </w:rPr>
        <w:t>减</w:t>
      </w:r>
      <w:r>
        <w:rPr>
          <w:rFonts w:hint="eastAsia"/>
          <w:szCs w:val="32"/>
        </w:rPr>
        <w:t>少</w:t>
      </w:r>
      <w:r>
        <w:rPr>
          <w:szCs w:val="32"/>
        </w:rPr>
        <w:t>原因</w:t>
      </w:r>
      <w:r>
        <w:rPr>
          <w:rFonts w:hint="eastAsia" w:ascii="仿宋" w:hAnsi="仿宋" w:eastAsia="仿宋"/>
          <w:szCs w:val="32"/>
        </w:rPr>
        <w:t>是2024年政法专款提前批暂时没有列入预算。</w:t>
      </w:r>
    </w:p>
    <w:p>
      <w:pPr>
        <w:tabs>
          <w:tab w:val="center" w:pos="4475"/>
        </w:tabs>
        <w:spacing w:line="560" w:lineRule="exact"/>
        <w:ind w:firstLine="645"/>
        <w:rPr>
          <w:rFonts w:ascii="仿宋_GB2312"/>
          <w:szCs w:val="32"/>
        </w:rPr>
      </w:pPr>
      <w:r>
        <w:rPr>
          <w:rFonts w:hint="eastAsia" w:ascii="仿宋_GB2312"/>
          <w:szCs w:val="32"/>
        </w:rPr>
        <w:t>具体情况为：</w:t>
      </w:r>
    </w:p>
    <w:p>
      <w:pPr>
        <w:widowControl/>
        <w:shd w:val="clear" w:color="auto" w:fill="FFFFFF"/>
        <w:spacing w:line="360" w:lineRule="auto"/>
        <w:ind w:firstLine="640" w:firstLineChars="200"/>
        <w:jc w:val="left"/>
        <w:rPr>
          <w:rFonts w:ascii="仿宋" w:hAnsi="仿宋" w:eastAsia="仿宋" w:cs="仿宋"/>
          <w:color w:val="404040"/>
          <w:kern w:val="0"/>
          <w:szCs w:val="32"/>
        </w:rPr>
      </w:pPr>
      <w:r>
        <w:rPr>
          <w:rFonts w:hint="eastAsia" w:ascii="仿宋" w:hAnsi="仿宋" w:eastAsia="仿宋"/>
          <w:szCs w:val="32"/>
        </w:rPr>
        <w:t>按支出功能分类科目划分，</w:t>
      </w:r>
      <w:r>
        <w:rPr>
          <w:rFonts w:hint="eastAsia" w:ascii="仿宋" w:hAnsi="仿宋" w:eastAsia="仿宋" w:cs="仿宋"/>
          <w:color w:val="404040"/>
          <w:kern w:val="0"/>
          <w:szCs w:val="32"/>
        </w:rPr>
        <w:t>其中：</w:t>
      </w:r>
    </w:p>
    <w:p>
      <w:pPr>
        <w:widowControl/>
        <w:shd w:val="clear" w:color="auto" w:fill="FFFFFF"/>
        <w:spacing w:line="360" w:lineRule="auto"/>
        <w:ind w:firstLine="640" w:firstLineChars="200"/>
        <w:jc w:val="left"/>
        <w:rPr>
          <w:rFonts w:hint="eastAsia" w:ascii="仿宋" w:hAnsi="仿宋" w:eastAsia="仿宋" w:cs="仿宋"/>
          <w:color w:val="404040"/>
          <w:kern w:val="0"/>
          <w:szCs w:val="32"/>
        </w:rPr>
      </w:pPr>
      <w:r>
        <w:rPr>
          <w:rFonts w:hint="eastAsia" w:ascii="仿宋" w:hAnsi="仿宋" w:eastAsia="仿宋" w:cs="仿宋"/>
          <w:color w:val="404040"/>
          <w:kern w:val="0"/>
          <w:szCs w:val="32"/>
        </w:rPr>
        <w:t>（1）行政运行支出586.4万元，同比</w:t>
      </w:r>
      <w:r>
        <w:rPr>
          <w:rFonts w:hint="eastAsia" w:ascii="仿宋" w:hAnsi="仿宋" w:eastAsia="仿宋"/>
          <w:szCs w:val="32"/>
        </w:rPr>
        <w:t>增加110.11</w:t>
      </w:r>
      <w:r>
        <w:rPr>
          <w:rFonts w:hint="eastAsia" w:ascii="仿宋" w:hAnsi="仿宋" w:eastAsia="仿宋" w:cs="仿宋"/>
          <w:color w:val="404040"/>
          <w:kern w:val="0"/>
          <w:szCs w:val="32"/>
        </w:rPr>
        <w:t>万元 ，同比</w:t>
      </w:r>
      <w:r>
        <w:rPr>
          <w:rFonts w:hint="eastAsia" w:ascii="仿宋" w:hAnsi="仿宋" w:eastAsia="仿宋"/>
          <w:szCs w:val="32"/>
        </w:rPr>
        <w:t>增加23.12</w:t>
      </w:r>
      <w:r>
        <w:rPr>
          <w:rFonts w:hint="eastAsia" w:ascii="仿宋" w:hAnsi="仿宋" w:eastAsia="仿宋" w:cs="仿宋"/>
          <w:color w:val="404040"/>
          <w:kern w:val="0"/>
          <w:szCs w:val="32"/>
        </w:rPr>
        <w:t>%，</w:t>
      </w:r>
      <w:r>
        <w:rPr>
          <w:rFonts w:hint="eastAsia" w:ascii="仿宋" w:hAnsi="仿宋" w:eastAsia="仿宋"/>
          <w:szCs w:val="32"/>
        </w:rPr>
        <w:t>增加</w:t>
      </w:r>
      <w:r>
        <w:rPr>
          <w:rFonts w:hint="eastAsia" w:ascii="仿宋" w:hAnsi="仿宋" w:eastAsia="仿宋" w:cs="仿宋"/>
          <w:color w:val="404040"/>
          <w:kern w:val="0"/>
          <w:szCs w:val="32"/>
        </w:rPr>
        <w:t>原因是我院新增公务员3人。</w:t>
      </w:r>
    </w:p>
    <w:p>
      <w:pPr>
        <w:widowControl/>
        <w:shd w:val="clear" w:color="auto" w:fill="FFFFFF"/>
        <w:spacing w:line="360" w:lineRule="auto"/>
        <w:ind w:firstLine="640" w:firstLineChars="200"/>
        <w:jc w:val="left"/>
        <w:rPr>
          <w:rFonts w:ascii="仿宋" w:hAnsi="仿宋" w:eastAsia="仿宋" w:cs="仿宋"/>
          <w:color w:val="404040"/>
          <w:kern w:val="0"/>
          <w:szCs w:val="32"/>
        </w:rPr>
      </w:pPr>
      <w:r>
        <w:rPr>
          <w:rFonts w:hint="eastAsia" w:ascii="仿宋" w:hAnsi="仿宋" w:eastAsia="仿宋" w:cs="仿宋"/>
          <w:color w:val="404040"/>
          <w:kern w:val="0"/>
          <w:szCs w:val="32"/>
        </w:rPr>
        <w:t>（2）一般行政管理事务支出153.96万元，同比</w:t>
      </w:r>
      <w:r>
        <w:rPr>
          <w:rFonts w:hint="eastAsia" w:ascii="仿宋" w:hAnsi="仿宋" w:eastAsia="仿宋"/>
          <w:szCs w:val="32"/>
        </w:rPr>
        <w:t>增加11.01</w:t>
      </w:r>
      <w:r>
        <w:rPr>
          <w:rFonts w:hint="eastAsia" w:ascii="仿宋" w:hAnsi="仿宋" w:eastAsia="仿宋" w:cs="仿宋"/>
          <w:color w:val="404040"/>
          <w:kern w:val="0"/>
          <w:szCs w:val="32"/>
        </w:rPr>
        <w:t>万元 ，同比</w:t>
      </w:r>
      <w:r>
        <w:rPr>
          <w:rFonts w:hint="eastAsia" w:ascii="仿宋" w:hAnsi="仿宋" w:eastAsia="仿宋"/>
          <w:szCs w:val="32"/>
        </w:rPr>
        <w:t>增加7</w:t>
      </w:r>
      <w:r>
        <w:rPr>
          <w:rFonts w:hint="eastAsia" w:ascii="仿宋" w:hAnsi="仿宋" w:eastAsia="仿宋" w:cs="仿宋"/>
          <w:color w:val="404040"/>
          <w:kern w:val="0"/>
          <w:szCs w:val="32"/>
        </w:rPr>
        <w:t>%，增加的主要原因</w:t>
      </w:r>
      <w:r>
        <w:rPr>
          <w:rFonts w:hint="eastAsia" w:ascii="仿宋" w:hAnsi="仿宋" w:eastAsia="仿宋" w:cs="仿宋"/>
          <w:kern w:val="0"/>
          <w:szCs w:val="32"/>
        </w:rPr>
        <w:t>是物业管理费比上年增加。</w:t>
      </w:r>
    </w:p>
    <w:p>
      <w:pPr>
        <w:widowControl/>
        <w:shd w:val="clear" w:color="auto" w:fill="FFFFFF"/>
        <w:spacing w:line="360" w:lineRule="auto"/>
        <w:ind w:firstLine="800" w:firstLineChars="250"/>
        <w:jc w:val="left"/>
        <w:rPr>
          <w:rFonts w:ascii="仿宋_GB2312"/>
          <w:szCs w:val="32"/>
        </w:rPr>
      </w:pPr>
      <w:r>
        <w:rPr>
          <w:rFonts w:hint="eastAsia" w:ascii="仿宋" w:hAnsi="仿宋" w:eastAsia="仿宋" w:cs="仿宋"/>
          <w:color w:val="404040"/>
          <w:kern w:val="0"/>
          <w:szCs w:val="32"/>
        </w:rPr>
        <w:t>（3）其他检察支出</w:t>
      </w:r>
      <w:r>
        <w:rPr>
          <w:rFonts w:hint="eastAsia" w:ascii="仿宋_GB2312"/>
          <w:szCs w:val="32"/>
        </w:rPr>
        <w:t>0万元，同比减少175万元，减少100%，</w:t>
      </w:r>
      <w:r>
        <w:rPr>
          <w:szCs w:val="32"/>
        </w:rPr>
        <w:t>减</w:t>
      </w:r>
      <w:r>
        <w:rPr>
          <w:rFonts w:hint="eastAsia"/>
          <w:szCs w:val="32"/>
        </w:rPr>
        <w:t>少</w:t>
      </w:r>
      <w:r>
        <w:rPr>
          <w:szCs w:val="32"/>
        </w:rPr>
        <w:t>原因</w:t>
      </w:r>
      <w:r>
        <w:rPr>
          <w:rFonts w:hint="eastAsia" w:ascii="仿宋" w:hAnsi="仿宋" w:eastAsia="仿宋"/>
          <w:szCs w:val="32"/>
        </w:rPr>
        <w:t>是2024年政法专款提前批暂时没有列入预算。</w:t>
      </w:r>
    </w:p>
    <w:p>
      <w:pPr>
        <w:widowControl/>
        <w:shd w:val="clear" w:color="auto" w:fill="FFFFFF"/>
        <w:spacing w:line="360" w:lineRule="auto"/>
        <w:ind w:firstLine="640" w:firstLineChars="200"/>
        <w:jc w:val="left"/>
        <w:rPr>
          <w:rFonts w:ascii="仿宋" w:hAnsi="仿宋" w:eastAsia="仿宋" w:cs="仿宋"/>
          <w:color w:val="404040"/>
          <w:kern w:val="0"/>
          <w:szCs w:val="32"/>
        </w:rPr>
      </w:pPr>
      <w:r>
        <w:rPr>
          <w:rFonts w:hint="eastAsia" w:ascii="仿宋" w:hAnsi="仿宋" w:eastAsia="仿宋"/>
          <w:szCs w:val="32"/>
        </w:rPr>
        <w:t>（4）行政单位离退休</w:t>
      </w:r>
      <w:r>
        <w:rPr>
          <w:rFonts w:ascii="仿宋" w:hAnsi="仿宋" w:eastAsia="仿宋"/>
          <w:szCs w:val="32"/>
        </w:rPr>
        <w:t>支出</w:t>
      </w:r>
      <w:r>
        <w:rPr>
          <w:rFonts w:hint="eastAsia" w:ascii="仿宋" w:hAnsi="仿宋" w:eastAsia="仿宋"/>
          <w:szCs w:val="32"/>
        </w:rPr>
        <w:t>27.6</w:t>
      </w:r>
      <w:r>
        <w:rPr>
          <w:rFonts w:hint="eastAsia" w:ascii="仿宋" w:hAnsi="仿宋" w:eastAsia="仿宋" w:cs="仿宋"/>
          <w:color w:val="404040"/>
          <w:kern w:val="0"/>
          <w:szCs w:val="32"/>
        </w:rPr>
        <w:t>万元，同比</w:t>
      </w:r>
      <w:r>
        <w:rPr>
          <w:rFonts w:hint="eastAsia" w:ascii="仿宋" w:hAnsi="仿宋" w:eastAsia="仿宋"/>
          <w:szCs w:val="32"/>
        </w:rPr>
        <w:t>增加8.4</w:t>
      </w:r>
      <w:r>
        <w:rPr>
          <w:rFonts w:hint="eastAsia" w:ascii="仿宋" w:hAnsi="仿宋" w:eastAsia="仿宋" w:cs="仿宋"/>
          <w:color w:val="404040"/>
          <w:kern w:val="0"/>
          <w:szCs w:val="32"/>
        </w:rPr>
        <w:t>万元 ，同比</w:t>
      </w:r>
      <w:r>
        <w:rPr>
          <w:rFonts w:hint="eastAsia" w:ascii="仿宋" w:hAnsi="仿宋" w:eastAsia="仿宋"/>
          <w:szCs w:val="32"/>
        </w:rPr>
        <w:t>增加43.75</w:t>
      </w:r>
      <w:r>
        <w:rPr>
          <w:rFonts w:hint="eastAsia" w:ascii="仿宋_GB2312"/>
          <w:szCs w:val="32"/>
        </w:rPr>
        <w:t>%，主要原因是</w:t>
      </w:r>
      <w:r>
        <w:rPr>
          <w:rFonts w:hint="eastAsia" w:ascii="仿宋" w:hAnsi="仿宋" w:eastAsia="仿宋" w:cs="仿宋"/>
          <w:color w:val="404040"/>
          <w:kern w:val="0"/>
          <w:szCs w:val="32"/>
        </w:rPr>
        <w:t>退休人员生活补助的提高。</w:t>
      </w:r>
    </w:p>
    <w:p>
      <w:pPr>
        <w:widowControl/>
        <w:shd w:val="clear" w:color="auto" w:fill="FFFFFF"/>
        <w:spacing w:line="360" w:lineRule="auto"/>
        <w:ind w:firstLine="640" w:firstLineChars="200"/>
        <w:jc w:val="left"/>
        <w:rPr>
          <w:rFonts w:ascii="仿宋" w:hAnsi="仿宋" w:eastAsia="仿宋"/>
          <w:szCs w:val="32"/>
        </w:rPr>
      </w:pPr>
      <w:r>
        <w:rPr>
          <w:rFonts w:hint="eastAsia" w:ascii="仿宋" w:hAnsi="仿宋" w:eastAsia="仿宋" w:cs="仿宋"/>
          <w:color w:val="404040"/>
          <w:kern w:val="0"/>
          <w:szCs w:val="32"/>
        </w:rPr>
        <w:t>（5）机关事业单位基本养老保险缴费支出78.24万元，同比</w:t>
      </w:r>
      <w:r>
        <w:rPr>
          <w:rFonts w:hint="eastAsia" w:ascii="仿宋" w:hAnsi="仿宋" w:eastAsia="仿宋"/>
          <w:szCs w:val="32"/>
        </w:rPr>
        <w:t>增加17.1</w:t>
      </w:r>
      <w:r>
        <w:rPr>
          <w:rFonts w:hint="eastAsia" w:ascii="仿宋" w:hAnsi="仿宋" w:eastAsia="仿宋" w:cs="仿宋"/>
          <w:color w:val="404040"/>
          <w:kern w:val="0"/>
          <w:szCs w:val="32"/>
        </w:rPr>
        <w:t>万元 ，同比</w:t>
      </w:r>
      <w:r>
        <w:rPr>
          <w:rFonts w:hint="eastAsia" w:ascii="仿宋" w:hAnsi="仿宋" w:eastAsia="仿宋"/>
          <w:szCs w:val="32"/>
        </w:rPr>
        <w:t>增加27.97</w:t>
      </w:r>
      <w:r>
        <w:rPr>
          <w:rFonts w:hint="eastAsia" w:ascii="仿宋" w:hAnsi="仿宋" w:eastAsia="仿宋" w:cs="仿宋"/>
          <w:color w:val="404040"/>
          <w:kern w:val="0"/>
          <w:szCs w:val="32"/>
        </w:rPr>
        <w:t>%，</w:t>
      </w:r>
      <w:bookmarkStart w:id="0" w:name="_GoBack"/>
      <w:bookmarkEnd w:id="0"/>
      <w:r>
        <w:rPr>
          <w:rFonts w:hint="eastAsia" w:ascii="仿宋" w:hAnsi="仿宋" w:eastAsia="仿宋" w:cs="仿宋"/>
          <w:color w:val="404040"/>
          <w:kern w:val="0"/>
          <w:szCs w:val="32"/>
        </w:rPr>
        <w:t>增加的</w:t>
      </w:r>
      <w:r>
        <w:rPr>
          <w:rFonts w:hint="eastAsia" w:ascii="仿宋_GB2312"/>
          <w:szCs w:val="32"/>
        </w:rPr>
        <w:t>主要原因是年底绩效上年由县财政发放，今年由市财政发放，对应计提的五险一金也由市财政支付。</w:t>
      </w:r>
    </w:p>
    <w:p>
      <w:pPr>
        <w:widowControl/>
        <w:shd w:val="clear" w:color="auto" w:fill="FFFFFF"/>
        <w:spacing w:line="360" w:lineRule="auto"/>
        <w:ind w:firstLine="640" w:firstLineChars="200"/>
        <w:jc w:val="left"/>
        <w:rPr>
          <w:rFonts w:ascii="仿宋" w:hAnsi="仿宋" w:eastAsia="仿宋"/>
          <w:szCs w:val="32"/>
        </w:rPr>
      </w:pPr>
      <w:r>
        <w:rPr>
          <w:rFonts w:hint="eastAsia" w:ascii="仿宋" w:hAnsi="仿宋" w:eastAsia="仿宋"/>
          <w:szCs w:val="32"/>
        </w:rPr>
        <w:t>（6）机关事业单位职业年金缴费支出39.12</w:t>
      </w:r>
      <w:r>
        <w:rPr>
          <w:rFonts w:hint="eastAsia" w:ascii="仿宋" w:hAnsi="仿宋" w:eastAsia="仿宋" w:cs="仿宋"/>
          <w:color w:val="404040"/>
          <w:kern w:val="0"/>
          <w:szCs w:val="32"/>
        </w:rPr>
        <w:t>万元，同比</w:t>
      </w:r>
      <w:r>
        <w:rPr>
          <w:rFonts w:hint="eastAsia" w:ascii="仿宋" w:hAnsi="仿宋" w:eastAsia="仿宋"/>
          <w:szCs w:val="32"/>
        </w:rPr>
        <w:t>增加8.55</w:t>
      </w:r>
      <w:r>
        <w:rPr>
          <w:rFonts w:hint="eastAsia" w:ascii="仿宋" w:hAnsi="仿宋" w:eastAsia="仿宋" w:cs="仿宋"/>
          <w:color w:val="404040"/>
          <w:kern w:val="0"/>
          <w:szCs w:val="32"/>
        </w:rPr>
        <w:t>万元 ，同比</w:t>
      </w:r>
      <w:r>
        <w:rPr>
          <w:rFonts w:hint="eastAsia" w:ascii="仿宋" w:hAnsi="仿宋" w:eastAsia="仿宋"/>
          <w:szCs w:val="32"/>
        </w:rPr>
        <w:t>增加27.97</w:t>
      </w:r>
      <w:r>
        <w:rPr>
          <w:rFonts w:hint="eastAsia" w:ascii="仿宋" w:hAnsi="仿宋" w:eastAsia="仿宋" w:cs="仿宋"/>
          <w:color w:val="404040"/>
          <w:kern w:val="0"/>
          <w:szCs w:val="32"/>
        </w:rPr>
        <w:t>%，增加的</w:t>
      </w:r>
      <w:r>
        <w:rPr>
          <w:rFonts w:hint="eastAsia" w:ascii="仿宋_GB2312"/>
          <w:szCs w:val="32"/>
        </w:rPr>
        <w:t>主要原因是年底绩效上年由县财政发放，今年由市财政发放，对应计提的五险一金也由市财政支付。</w:t>
      </w:r>
    </w:p>
    <w:p>
      <w:pPr>
        <w:widowControl/>
        <w:shd w:val="clear" w:color="auto" w:fill="FFFFFF"/>
        <w:spacing w:line="360" w:lineRule="auto"/>
        <w:ind w:firstLine="640" w:firstLineChars="200"/>
        <w:jc w:val="left"/>
        <w:rPr>
          <w:rFonts w:ascii="仿宋" w:hAnsi="仿宋" w:eastAsia="仿宋"/>
          <w:szCs w:val="32"/>
        </w:rPr>
      </w:pPr>
      <w:r>
        <w:rPr>
          <w:rFonts w:hint="eastAsia" w:ascii="仿宋" w:hAnsi="仿宋" w:eastAsia="仿宋"/>
          <w:szCs w:val="32"/>
        </w:rPr>
        <w:t>（7</w:t>
      </w:r>
      <w:r>
        <w:rPr>
          <w:rFonts w:ascii="仿宋" w:hAnsi="仿宋" w:eastAsia="仿宋"/>
          <w:szCs w:val="32"/>
        </w:rPr>
        <w:t>）</w:t>
      </w:r>
      <w:r>
        <w:rPr>
          <w:rFonts w:hint="eastAsia" w:ascii="仿宋" w:hAnsi="仿宋" w:eastAsia="仿宋"/>
          <w:szCs w:val="32"/>
        </w:rPr>
        <w:t>行政单位医疗支出44.99</w:t>
      </w:r>
      <w:r>
        <w:rPr>
          <w:rFonts w:hint="eastAsia" w:ascii="仿宋" w:hAnsi="仿宋" w:eastAsia="仿宋" w:cs="仿宋"/>
          <w:color w:val="404040"/>
          <w:kern w:val="0"/>
          <w:szCs w:val="32"/>
        </w:rPr>
        <w:t>万元，</w:t>
      </w:r>
      <w:r>
        <w:rPr>
          <w:rFonts w:hint="eastAsia" w:ascii="仿宋" w:hAnsi="仿宋" w:eastAsia="仿宋"/>
          <w:szCs w:val="32"/>
        </w:rPr>
        <w:t>增加9.84</w:t>
      </w:r>
      <w:r>
        <w:rPr>
          <w:rFonts w:hint="eastAsia" w:ascii="仿宋" w:hAnsi="仿宋" w:eastAsia="仿宋" w:cs="仿宋"/>
          <w:color w:val="404040"/>
          <w:kern w:val="0"/>
          <w:szCs w:val="32"/>
        </w:rPr>
        <w:t>万元， 同比</w:t>
      </w:r>
      <w:r>
        <w:rPr>
          <w:rFonts w:hint="eastAsia" w:ascii="仿宋" w:hAnsi="仿宋" w:eastAsia="仿宋"/>
          <w:szCs w:val="32"/>
        </w:rPr>
        <w:t>增加27.99%，</w:t>
      </w:r>
      <w:r>
        <w:rPr>
          <w:rFonts w:hint="eastAsia" w:ascii="仿宋" w:hAnsi="仿宋" w:eastAsia="仿宋" w:cs="仿宋"/>
          <w:color w:val="404040"/>
          <w:kern w:val="0"/>
          <w:szCs w:val="32"/>
        </w:rPr>
        <w:t>增加的主要原因</w:t>
      </w:r>
      <w:r>
        <w:rPr>
          <w:rFonts w:hint="eastAsia" w:ascii="仿宋" w:hAnsi="仿宋" w:eastAsia="仿宋" w:cs="仿宋"/>
          <w:kern w:val="0"/>
          <w:szCs w:val="32"/>
        </w:rPr>
        <w:t>是</w:t>
      </w:r>
      <w:r>
        <w:rPr>
          <w:rFonts w:hint="eastAsia" w:ascii="仿宋_GB2312"/>
          <w:szCs w:val="32"/>
        </w:rPr>
        <w:t>主要原因是年底绩效上年由县财政发放，今年由市财政发放，对应计提的五险一金也由市财政支付。</w:t>
      </w:r>
    </w:p>
    <w:p>
      <w:pPr>
        <w:widowControl/>
        <w:shd w:val="clear" w:color="auto" w:fill="FFFFFF"/>
        <w:spacing w:line="360" w:lineRule="auto"/>
        <w:ind w:firstLine="640" w:firstLineChars="200"/>
        <w:jc w:val="left"/>
        <w:rPr>
          <w:rFonts w:ascii="仿宋" w:hAnsi="仿宋" w:eastAsia="仿宋"/>
          <w:szCs w:val="32"/>
        </w:rPr>
      </w:pPr>
      <w:r>
        <w:rPr>
          <w:rFonts w:hint="eastAsia" w:ascii="仿宋_GB2312"/>
          <w:szCs w:val="32"/>
        </w:rPr>
        <w:t>(8)</w:t>
      </w:r>
      <w:r>
        <w:rPr>
          <w:rFonts w:hint="eastAsia"/>
        </w:rPr>
        <w:t xml:space="preserve"> </w:t>
      </w:r>
      <w:r>
        <w:rPr>
          <w:rFonts w:hint="eastAsia" w:ascii="仿宋_GB2312"/>
          <w:szCs w:val="32"/>
        </w:rPr>
        <w:t>公务员医疗补助</w:t>
      </w:r>
      <w:r>
        <w:rPr>
          <w:rFonts w:hint="eastAsia" w:ascii="仿宋" w:hAnsi="仿宋" w:eastAsia="仿宋"/>
          <w:szCs w:val="32"/>
        </w:rPr>
        <w:t>支出32.66</w:t>
      </w:r>
      <w:r>
        <w:rPr>
          <w:rFonts w:hint="eastAsia" w:ascii="仿宋" w:hAnsi="仿宋" w:eastAsia="仿宋" w:cs="仿宋"/>
          <w:color w:val="404040"/>
          <w:kern w:val="0"/>
          <w:szCs w:val="32"/>
        </w:rPr>
        <w:t>万元，</w:t>
      </w:r>
      <w:r>
        <w:rPr>
          <w:rFonts w:hint="eastAsia" w:ascii="仿宋" w:hAnsi="仿宋" w:eastAsia="仿宋"/>
          <w:szCs w:val="32"/>
        </w:rPr>
        <w:t>增加5.31</w:t>
      </w:r>
      <w:r>
        <w:rPr>
          <w:rFonts w:hint="eastAsia" w:ascii="仿宋" w:hAnsi="仿宋" w:eastAsia="仿宋" w:cs="仿宋"/>
          <w:color w:val="404040"/>
          <w:kern w:val="0"/>
          <w:szCs w:val="32"/>
        </w:rPr>
        <w:t>万元， 同比</w:t>
      </w:r>
      <w:r>
        <w:rPr>
          <w:rFonts w:hint="eastAsia" w:ascii="仿宋" w:hAnsi="仿宋" w:eastAsia="仿宋"/>
          <w:szCs w:val="32"/>
        </w:rPr>
        <w:t>增加19.42%，</w:t>
      </w:r>
      <w:r>
        <w:rPr>
          <w:rFonts w:hint="eastAsia" w:ascii="仿宋" w:hAnsi="仿宋" w:eastAsia="仿宋" w:cs="仿宋"/>
          <w:color w:val="404040"/>
          <w:kern w:val="0"/>
          <w:szCs w:val="32"/>
        </w:rPr>
        <w:t>增加的主要原因</w:t>
      </w:r>
      <w:r>
        <w:rPr>
          <w:rFonts w:hint="eastAsia" w:ascii="仿宋" w:hAnsi="仿宋" w:eastAsia="仿宋" w:cs="仿宋"/>
          <w:kern w:val="0"/>
          <w:szCs w:val="32"/>
        </w:rPr>
        <w:t>是</w:t>
      </w:r>
      <w:r>
        <w:rPr>
          <w:rFonts w:hint="eastAsia" w:ascii="仿宋_GB2312"/>
          <w:szCs w:val="32"/>
        </w:rPr>
        <w:t>主要原因是年底绩效上年由县财政发放，今年由市财政发放，对应计提的五险一金也由市财政支付。</w:t>
      </w:r>
    </w:p>
    <w:p>
      <w:pPr>
        <w:tabs>
          <w:tab w:val="center" w:pos="4475"/>
        </w:tabs>
        <w:spacing w:line="560" w:lineRule="exact"/>
        <w:ind w:firstLine="645"/>
        <w:rPr>
          <w:rFonts w:ascii="仿宋" w:hAnsi="仿宋" w:eastAsia="仿宋" w:cs="仿宋"/>
          <w:color w:val="404040"/>
          <w:kern w:val="0"/>
          <w:szCs w:val="32"/>
        </w:rPr>
      </w:pPr>
      <w:r>
        <w:rPr>
          <w:rFonts w:hint="eastAsia" w:ascii="仿宋" w:hAnsi="仿宋" w:eastAsia="仿宋" w:cs="仿宋"/>
          <w:color w:val="404040"/>
          <w:kern w:val="0"/>
          <w:szCs w:val="32"/>
        </w:rPr>
        <w:t>(9)住房保障支出58.68万元 ，同比</w:t>
      </w:r>
      <w:r>
        <w:rPr>
          <w:rFonts w:hint="eastAsia" w:ascii="仿宋" w:hAnsi="仿宋" w:eastAsia="仿宋"/>
          <w:szCs w:val="32"/>
        </w:rPr>
        <w:t>增加12.83</w:t>
      </w:r>
      <w:r>
        <w:rPr>
          <w:rFonts w:hint="eastAsia" w:ascii="仿宋" w:hAnsi="仿宋" w:eastAsia="仿宋" w:cs="仿宋"/>
          <w:color w:val="404040"/>
          <w:kern w:val="0"/>
          <w:szCs w:val="32"/>
        </w:rPr>
        <w:t>万元 ，同比</w:t>
      </w:r>
      <w:r>
        <w:rPr>
          <w:rFonts w:hint="eastAsia" w:ascii="仿宋" w:hAnsi="仿宋" w:eastAsia="仿宋"/>
          <w:szCs w:val="32"/>
        </w:rPr>
        <w:t>增加</w:t>
      </w:r>
      <w:r>
        <w:rPr>
          <w:rFonts w:hint="eastAsia" w:ascii="仿宋" w:hAnsi="仿宋" w:eastAsia="仿宋" w:cs="仿宋"/>
          <w:color w:val="404040"/>
          <w:kern w:val="0"/>
          <w:szCs w:val="32"/>
        </w:rPr>
        <w:t>27.98%，</w:t>
      </w:r>
      <w:r>
        <w:rPr>
          <w:rFonts w:ascii="仿宋" w:hAnsi="仿宋" w:eastAsia="仿宋" w:cs="仿宋"/>
          <w:color w:val="404040"/>
          <w:kern w:val="0"/>
          <w:szCs w:val="32"/>
        </w:rPr>
        <w:t xml:space="preserve"> </w:t>
      </w:r>
      <w:r>
        <w:rPr>
          <w:rFonts w:hint="eastAsia" w:ascii="仿宋" w:hAnsi="仿宋" w:eastAsia="仿宋" w:cs="仿宋"/>
          <w:color w:val="404040"/>
          <w:kern w:val="0"/>
          <w:szCs w:val="32"/>
        </w:rPr>
        <w:t>增加的主要原因</w:t>
      </w:r>
      <w:r>
        <w:rPr>
          <w:rFonts w:hint="eastAsia" w:ascii="仿宋" w:hAnsi="仿宋" w:eastAsia="仿宋" w:cs="仿宋"/>
          <w:kern w:val="0"/>
          <w:szCs w:val="32"/>
        </w:rPr>
        <w:t>是</w:t>
      </w:r>
      <w:r>
        <w:rPr>
          <w:rFonts w:hint="eastAsia" w:ascii="仿宋_GB2312"/>
          <w:szCs w:val="32"/>
        </w:rPr>
        <w:t>主要原因是年底绩效上年由县财政发放，今年由市财政发放，对应计提的五险一金也由市财政支付。</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widowControl/>
        <w:shd w:val="clear" w:color="auto" w:fill="FFFFFF"/>
        <w:spacing w:line="360" w:lineRule="auto"/>
        <w:ind w:firstLine="640" w:firstLineChars="200"/>
        <w:jc w:val="left"/>
        <w:rPr>
          <w:rFonts w:ascii="仿宋" w:hAnsi="仿宋" w:eastAsia="仿宋"/>
          <w:szCs w:val="32"/>
        </w:rPr>
      </w:pPr>
      <w:r>
        <w:rPr>
          <w:rFonts w:hint="eastAsia" w:ascii="仿宋_GB2312"/>
          <w:szCs w:val="32"/>
        </w:rPr>
        <w:t>我部门一般公共预算基本支出共935.21万元，较上年增长174.85万元，较上年增长23%，主要原因是</w:t>
      </w:r>
      <w:r>
        <w:rPr>
          <w:rFonts w:hint="eastAsia" w:ascii="仿宋" w:hAnsi="仿宋" w:eastAsia="仿宋" w:cs="仿宋"/>
          <w:color w:val="404040"/>
          <w:kern w:val="0"/>
          <w:szCs w:val="32"/>
        </w:rPr>
        <w:t>增加的</w:t>
      </w:r>
      <w:r>
        <w:rPr>
          <w:rFonts w:hint="eastAsia" w:ascii="仿宋_GB2312"/>
          <w:szCs w:val="32"/>
        </w:rPr>
        <w:t>主要原因是年底绩效上年由县财政发放，今年由市财政发放，对应计提的五险一金也由市财政支付，</w:t>
      </w:r>
      <w:r>
        <w:rPr>
          <w:rFonts w:hint="eastAsia" w:ascii="仿宋" w:hAnsi="仿宋" w:eastAsia="仿宋"/>
          <w:szCs w:val="32"/>
        </w:rPr>
        <w:t>另外</w:t>
      </w:r>
      <w:r>
        <w:rPr>
          <w:rFonts w:hint="eastAsia" w:ascii="仿宋" w:hAnsi="仿宋" w:eastAsia="仿宋" w:cs="仿宋"/>
          <w:color w:val="404040"/>
          <w:kern w:val="0"/>
          <w:szCs w:val="32"/>
        </w:rPr>
        <w:t>原因是我院新增公务员3人。</w:t>
      </w:r>
    </w:p>
    <w:p>
      <w:pPr>
        <w:tabs>
          <w:tab w:val="center" w:pos="4475"/>
        </w:tabs>
        <w:spacing w:line="560" w:lineRule="exact"/>
        <w:ind w:firstLine="645"/>
        <w:rPr>
          <w:rFonts w:ascii="仿宋_GB2312"/>
          <w:szCs w:val="32"/>
        </w:rPr>
      </w:pPr>
      <w:r>
        <w:rPr>
          <w:rFonts w:hint="eastAsia" w:ascii="仿宋_GB2312"/>
          <w:szCs w:val="32"/>
        </w:rPr>
        <w:t>具体情况为：</w:t>
      </w:r>
    </w:p>
    <w:p>
      <w:pPr>
        <w:widowControl/>
        <w:shd w:val="clear" w:color="auto" w:fill="FFFFFF"/>
        <w:spacing w:line="360" w:lineRule="auto"/>
        <w:ind w:firstLine="640" w:firstLineChars="200"/>
        <w:jc w:val="left"/>
        <w:rPr>
          <w:rFonts w:ascii="仿宋" w:hAnsi="仿宋" w:eastAsia="仿宋" w:cs="仿宋"/>
          <w:color w:val="404040"/>
          <w:kern w:val="0"/>
          <w:szCs w:val="32"/>
        </w:rPr>
      </w:pPr>
      <w:r>
        <w:rPr>
          <w:rFonts w:hint="eastAsia" w:ascii="仿宋" w:hAnsi="仿宋" w:eastAsia="仿宋" w:cs="仿宋"/>
          <w:color w:val="404040"/>
          <w:kern w:val="0"/>
          <w:szCs w:val="32"/>
        </w:rPr>
        <w:t>其中：工资福利支出预算803.75万元, 占基本支出预算85.96%，同比增加165.02万元，增加25.84%。增加的主要原因</w:t>
      </w:r>
      <w:r>
        <w:rPr>
          <w:rFonts w:hint="eastAsia" w:ascii="仿宋_GB2312"/>
          <w:szCs w:val="32"/>
        </w:rPr>
        <w:t>是年底绩效上年由县财政发放，今年由市财政发放，对应计提的五险一金也由市财政支付，</w:t>
      </w:r>
      <w:r>
        <w:rPr>
          <w:rFonts w:hint="eastAsia" w:ascii="仿宋" w:hAnsi="仿宋" w:eastAsia="仿宋"/>
          <w:szCs w:val="32"/>
        </w:rPr>
        <w:t>另外</w:t>
      </w:r>
      <w:r>
        <w:rPr>
          <w:rFonts w:hint="eastAsia" w:ascii="仿宋" w:hAnsi="仿宋" w:eastAsia="仿宋" w:cs="仿宋"/>
          <w:color w:val="404040"/>
          <w:kern w:val="0"/>
          <w:szCs w:val="32"/>
        </w:rPr>
        <w:t>原因是我院新增公务员3人。工资福利支出详细如下：基本工资171.98万元、津贴补贴202.76万元、</w:t>
      </w:r>
      <w:r>
        <w:rPr>
          <w:rFonts w:hint="eastAsia" w:ascii="仿宋" w:hAnsi="仿宋" w:eastAsia="仿宋"/>
          <w:szCs w:val="32"/>
        </w:rPr>
        <w:t>奖金116.06</w:t>
      </w:r>
      <w:r>
        <w:rPr>
          <w:rFonts w:hint="eastAsia" w:ascii="仿宋" w:hAnsi="仿宋" w:eastAsia="仿宋" w:cs="仿宋"/>
          <w:color w:val="404040"/>
          <w:kern w:val="0"/>
          <w:szCs w:val="32"/>
        </w:rPr>
        <w:t>万元、</w:t>
      </w:r>
      <w:r>
        <w:rPr>
          <w:rFonts w:hint="eastAsia" w:ascii="仿宋" w:hAnsi="仿宋" w:eastAsia="仿宋"/>
          <w:szCs w:val="32"/>
        </w:rPr>
        <w:t>机关事业单位基本养老保险缴费78.24</w:t>
      </w:r>
      <w:r>
        <w:rPr>
          <w:rFonts w:hint="eastAsia" w:ascii="仿宋" w:hAnsi="仿宋" w:eastAsia="仿宋" w:cs="仿宋"/>
          <w:color w:val="404040"/>
          <w:kern w:val="0"/>
          <w:szCs w:val="32"/>
        </w:rPr>
        <w:t>万元、</w:t>
      </w:r>
      <w:r>
        <w:rPr>
          <w:rFonts w:hint="eastAsia" w:ascii="仿宋" w:hAnsi="仿宋" w:eastAsia="仿宋"/>
          <w:szCs w:val="32"/>
        </w:rPr>
        <w:t>职业年金缴费39.12</w:t>
      </w:r>
      <w:r>
        <w:rPr>
          <w:rFonts w:hint="eastAsia" w:ascii="仿宋" w:hAnsi="仿宋" w:eastAsia="仿宋" w:cs="仿宋"/>
          <w:color w:val="404040"/>
          <w:kern w:val="0"/>
          <w:szCs w:val="32"/>
        </w:rPr>
        <w:t>万元、</w:t>
      </w:r>
      <w:r>
        <w:rPr>
          <w:rFonts w:hint="eastAsia" w:ascii="仿宋" w:hAnsi="仿宋" w:eastAsia="仿宋"/>
          <w:szCs w:val="32"/>
        </w:rPr>
        <w:t>职工基本医疗保险缴费44.01</w:t>
      </w:r>
      <w:r>
        <w:rPr>
          <w:rFonts w:hint="eastAsia" w:ascii="仿宋" w:hAnsi="仿宋" w:eastAsia="仿宋" w:cs="仿宋"/>
          <w:color w:val="404040"/>
          <w:kern w:val="0"/>
          <w:szCs w:val="32"/>
        </w:rPr>
        <w:t>万元、</w:t>
      </w:r>
      <w:r>
        <w:rPr>
          <w:rFonts w:hint="eastAsia" w:ascii="仿宋" w:hAnsi="仿宋" w:eastAsia="仿宋"/>
          <w:szCs w:val="32"/>
        </w:rPr>
        <w:t>公务员医疗补助缴费24.45</w:t>
      </w:r>
      <w:r>
        <w:rPr>
          <w:rFonts w:hint="eastAsia" w:ascii="仿宋" w:hAnsi="仿宋" w:eastAsia="仿宋" w:cs="仿宋"/>
          <w:color w:val="404040"/>
          <w:kern w:val="0"/>
          <w:szCs w:val="32"/>
        </w:rPr>
        <w:t>万元、</w:t>
      </w:r>
      <w:r>
        <w:rPr>
          <w:rFonts w:hint="eastAsia" w:ascii="仿宋" w:hAnsi="仿宋" w:eastAsia="仿宋"/>
          <w:szCs w:val="32"/>
        </w:rPr>
        <w:t>其他社会保障缴费0.98</w:t>
      </w:r>
      <w:r>
        <w:rPr>
          <w:rFonts w:hint="eastAsia" w:ascii="仿宋" w:hAnsi="仿宋" w:eastAsia="仿宋" w:cs="仿宋"/>
          <w:color w:val="404040"/>
          <w:kern w:val="0"/>
          <w:szCs w:val="32"/>
        </w:rPr>
        <w:t>万元、</w:t>
      </w:r>
      <w:r>
        <w:rPr>
          <w:rFonts w:hint="eastAsia" w:ascii="仿宋" w:hAnsi="仿宋" w:eastAsia="仿宋"/>
          <w:szCs w:val="32"/>
        </w:rPr>
        <w:t>住房公积金58.68</w:t>
      </w:r>
      <w:r>
        <w:rPr>
          <w:rFonts w:hint="eastAsia" w:ascii="仿宋" w:hAnsi="仿宋" w:eastAsia="仿宋" w:cs="仿宋"/>
          <w:color w:val="404040"/>
          <w:kern w:val="0"/>
          <w:szCs w:val="32"/>
        </w:rPr>
        <w:t>万元、</w:t>
      </w:r>
      <w:r>
        <w:rPr>
          <w:rFonts w:hint="eastAsia" w:ascii="仿宋" w:hAnsi="仿宋" w:eastAsia="仿宋"/>
          <w:szCs w:val="32"/>
        </w:rPr>
        <w:t>其他工资福利支出67.46</w:t>
      </w:r>
      <w:r>
        <w:rPr>
          <w:rFonts w:hint="eastAsia" w:ascii="仿宋" w:hAnsi="仿宋" w:eastAsia="仿宋" w:cs="仿宋"/>
          <w:color w:val="404040"/>
          <w:kern w:val="0"/>
          <w:szCs w:val="32"/>
        </w:rPr>
        <w:t>万元。</w:t>
      </w:r>
    </w:p>
    <w:p>
      <w:pPr>
        <w:widowControl/>
        <w:shd w:val="clear" w:color="auto" w:fill="FFFFFF"/>
        <w:spacing w:line="360" w:lineRule="auto"/>
        <w:ind w:firstLine="640" w:firstLineChars="200"/>
        <w:jc w:val="left"/>
        <w:rPr>
          <w:rFonts w:ascii="仿宋" w:hAnsi="仿宋" w:eastAsia="仿宋" w:cs="仿宋"/>
          <w:color w:val="404040"/>
          <w:kern w:val="0"/>
          <w:szCs w:val="32"/>
        </w:rPr>
      </w:pPr>
      <w:r>
        <w:rPr>
          <w:rFonts w:hint="eastAsia" w:ascii="仿宋" w:hAnsi="仿宋" w:eastAsia="仿宋" w:cs="仿宋"/>
          <w:color w:val="404040"/>
          <w:kern w:val="0"/>
          <w:szCs w:val="32"/>
        </w:rPr>
        <w:t>商品服务支出预算100.25万元, 同比增加1.26万元, 增长1.27%。增加的主要原因是我院新增公务员3人。商品服务支出详细如下：办公费3.81万元、印刷费1.27万元、水费0.96万元、电费3.57万元、邮电费7.8万元、差旅费17.7万元、维修（护）费1.1万元、会议费1.12万元、培训费1.12万元、公务接待费0.8万元、工会经费7.78万元、福利费1.12万元、公务用车运行维护费11.4万元、其他交通费用32.7万元、其他商品和服务支出万元。</w:t>
      </w:r>
    </w:p>
    <w:p>
      <w:pPr>
        <w:widowControl/>
        <w:shd w:val="clear" w:color="auto" w:fill="FFFFFF"/>
        <w:spacing w:line="360" w:lineRule="auto"/>
        <w:ind w:firstLine="800" w:firstLineChars="250"/>
        <w:jc w:val="left"/>
        <w:rPr>
          <w:rFonts w:ascii="仿宋" w:hAnsi="仿宋" w:eastAsia="仿宋" w:cs="仿宋"/>
          <w:color w:val="404040"/>
          <w:kern w:val="0"/>
          <w:szCs w:val="32"/>
        </w:rPr>
      </w:pPr>
      <w:r>
        <w:rPr>
          <w:rFonts w:hint="eastAsia" w:ascii="仿宋" w:hAnsi="仿宋" w:eastAsia="仿宋" w:cs="仿宋"/>
          <w:color w:val="404040"/>
          <w:kern w:val="0"/>
          <w:szCs w:val="32"/>
        </w:rPr>
        <w:t>对个人和家庭的补助支出预算31.21万元, 同比增加8.57万元，增长37.85%。增加的主要原因是退休人员生活补助的提高。对个人和家庭的补助支出详细如下：退休费23万元、退休费8.21万元。</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ascii="仿宋_GB2312"/>
          <w:bCs/>
        </w:rPr>
      </w:pPr>
      <w:r>
        <w:rPr>
          <w:rFonts w:hint="eastAsia" w:ascii="仿宋_GB2312" w:hAnsi="宋体"/>
          <w:szCs w:val="32"/>
        </w:rPr>
        <w:t>我部门</w:t>
      </w:r>
      <w:r>
        <w:rPr>
          <w:rFonts w:hint="eastAsia" w:ascii="仿宋_GB2312"/>
        </w:rPr>
        <w:t>2024年一般公共预算</w:t>
      </w:r>
      <w:r>
        <w:rPr>
          <w:rFonts w:hint="eastAsia" w:ascii="仿宋_GB2312"/>
          <w:bCs/>
        </w:rPr>
        <w:t>安排的“三公”经费支出预算14.43万元，同口径比2023年减少3.39万元，下降19.02%，具体如下：</w:t>
      </w:r>
    </w:p>
    <w:p>
      <w:pPr>
        <w:tabs>
          <w:tab w:val="center" w:pos="4475"/>
        </w:tabs>
        <w:spacing w:line="560" w:lineRule="exact"/>
        <w:ind w:firstLine="645"/>
        <w:rPr>
          <w:rFonts w:ascii="仿宋_GB2312" w:hAnsi="宋体"/>
          <w:b/>
          <w:bCs/>
          <w:szCs w:val="32"/>
          <w:u w:val="single"/>
        </w:rPr>
      </w:pPr>
      <w:r>
        <w:rPr>
          <w:rFonts w:hint="eastAsia" w:ascii="仿宋_GB2312"/>
        </w:rPr>
        <w:t>1.因公出国（境）费</w:t>
      </w:r>
      <w:r>
        <w:rPr>
          <w:rFonts w:hint="eastAsia" w:ascii="仿宋_GB2312" w:hAnsi="宋体"/>
          <w:szCs w:val="32"/>
        </w:rPr>
        <w:t>2024年预算安排0万元，与上年持平；</w:t>
      </w:r>
    </w:p>
    <w:p>
      <w:pPr>
        <w:tabs>
          <w:tab w:val="center" w:pos="4475"/>
        </w:tabs>
        <w:spacing w:line="560" w:lineRule="exact"/>
        <w:ind w:firstLine="645"/>
        <w:rPr>
          <w:rFonts w:ascii="仿宋_GB2312" w:hAnsi="宋体"/>
          <w:szCs w:val="32"/>
        </w:rPr>
      </w:pPr>
      <w:r>
        <w:rPr>
          <w:rFonts w:hint="eastAsia" w:ascii="仿宋_GB2312"/>
        </w:rPr>
        <w:t>2.公务接待费</w:t>
      </w:r>
      <w:r>
        <w:rPr>
          <w:rFonts w:hint="eastAsia" w:ascii="仿宋_GB2312" w:hAnsi="宋体"/>
          <w:szCs w:val="32"/>
        </w:rPr>
        <w:t>2024年预算安排0.8万元，比上年减少0.14万元，下降14.89%，</w:t>
      </w:r>
      <w:r>
        <w:rPr>
          <w:rFonts w:hint="eastAsia" w:ascii="仿宋_GB2312" w:hAnsi="Arial" w:cs="Arial"/>
          <w:kern w:val="0"/>
        </w:rPr>
        <w:t>减少的主要原因是厉行节约；</w:t>
      </w:r>
    </w:p>
    <w:p>
      <w:pPr>
        <w:tabs>
          <w:tab w:val="center" w:pos="4475"/>
        </w:tabs>
        <w:spacing w:line="560" w:lineRule="exact"/>
        <w:ind w:firstLine="645"/>
        <w:rPr>
          <w:rFonts w:ascii="仿宋_GB2312" w:hAnsi="宋体"/>
          <w:szCs w:val="32"/>
        </w:rPr>
      </w:pPr>
      <w:r>
        <w:rPr>
          <w:rFonts w:hint="eastAsia" w:ascii="仿宋_GB2312"/>
        </w:rPr>
        <w:t>3.公务用车购置及运行费</w:t>
      </w:r>
      <w:r>
        <w:rPr>
          <w:rFonts w:hint="eastAsia" w:ascii="仿宋_GB2312" w:hAnsi="宋体"/>
          <w:szCs w:val="32"/>
        </w:rPr>
        <w:t>2024年预算安排11.4万元，比上年减少2.84万元，下降2.84%，</w:t>
      </w:r>
      <w:r>
        <w:rPr>
          <w:rFonts w:hint="eastAsia" w:ascii="仿宋_GB2312" w:hAnsi="Arial" w:cs="Arial"/>
          <w:kern w:val="0"/>
        </w:rPr>
        <w:t>减少的主要原因是</w:t>
      </w:r>
      <w:r>
        <w:rPr>
          <w:rFonts w:hint="eastAsia" w:ascii="仿宋" w:hAnsi="仿宋" w:eastAsia="仿宋" w:cs="仿宋"/>
          <w:kern w:val="0"/>
          <w:szCs w:val="32"/>
        </w:rPr>
        <w:t>上划市级管辖后，市财政一体化系统自动生成，可能会引起公务用车运行维护费非常紧张。</w:t>
      </w:r>
    </w:p>
    <w:p>
      <w:pPr>
        <w:tabs>
          <w:tab w:val="center" w:pos="4475"/>
        </w:tabs>
        <w:spacing w:line="560" w:lineRule="exact"/>
        <w:ind w:firstLine="645"/>
        <w:rPr>
          <w:rFonts w:ascii="仿宋_GB2312" w:hAnsi="宋体"/>
          <w:szCs w:val="32"/>
        </w:rPr>
      </w:pPr>
      <w:r>
        <w:rPr>
          <w:rFonts w:hint="eastAsia" w:ascii="仿宋_GB2312" w:hAnsi="宋体"/>
          <w:szCs w:val="32"/>
        </w:rPr>
        <w:t>其中：</w:t>
      </w:r>
    </w:p>
    <w:p>
      <w:pPr>
        <w:tabs>
          <w:tab w:val="center" w:pos="4475"/>
        </w:tabs>
        <w:spacing w:line="560" w:lineRule="exact"/>
        <w:ind w:firstLine="645"/>
        <w:rPr>
          <w:rFonts w:ascii="仿宋_GB2312" w:hAnsi="宋体"/>
          <w:szCs w:val="32"/>
        </w:rPr>
      </w:pPr>
      <w:r>
        <w:rPr>
          <w:rFonts w:hint="eastAsia" w:ascii="仿宋_GB2312" w:hAnsi="宋体"/>
          <w:szCs w:val="32"/>
        </w:rPr>
        <w:t>公务用车购置费2024年预算安排0万元，与上年持平</w:t>
      </w:r>
      <w:r>
        <w:rPr>
          <w:rFonts w:hint="eastAsia" w:ascii="仿宋_GB2312" w:hAnsi="Arial" w:cs="Arial"/>
          <w:kern w:val="0"/>
        </w:rPr>
        <w:t>；</w:t>
      </w:r>
    </w:p>
    <w:p>
      <w:pPr>
        <w:tabs>
          <w:tab w:val="center" w:pos="4475"/>
        </w:tabs>
        <w:spacing w:line="560" w:lineRule="exact"/>
        <w:ind w:firstLine="645"/>
        <w:rPr>
          <w:rFonts w:ascii="仿宋_GB2312" w:hAnsi="宋体"/>
          <w:szCs w:val="32"/>
        </w:rPr>
      </w:pPr>
      <w:r>
        <w:rPr>
          <w:rFonts w:hint="eastAsia" w:ascii="仿宋_GB2312" w:hAnsi="宋体"/>
          <w:szCs w:val="32"/>
        </w:rPr>
        <w:t>公务用车运行维护费2024年预算安排11.4万元，比上年减少2.84万元，下降19.94%，</w:t>
      </w:r>
      <w:r>
        <w:rPr>
          <w:rFonts w:hint="eastAsia" w:ascii="仿宋_GB2312" w:hAnsi="Arial" w:cs="Arial"/>
          <w:kern w:val="0"/>
        </w:rPr>
        <w:t>减少的主要原因是</w:t>
      </w:r>
      <w:r>
        <w:rPr>
          <w:rFonts w:hint="eastAsia" w:ascii="仿宋" w:hAnsi="仿宋" w:eastAsia="仿宋" w:cs="仿宋"/>
          <w:kern w:val="0"/>
          <w:szCs w:val="32"/>
        </w:rPr>
        <w:t>上划市级管辖后，市财政一体化系统自动生成，可能会引起公务用车运行维护费非常紧张。</w:t>
      </w:r>
    </w:p>
    <w:p>
      <w:pPr>
        <w:tabs>
          <w:tab w:val="center" w:pos="4475"/>
        </w:tabs>
        <w:spacing w:line="560" w:lineRule="exact"/>
        <w:ind w:firstLine="645"/>
        <w:rPr>
          <w:rFonts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ascii="仿宋_GB2312"/>
          <w:szCs w:val="32"/>
        </w:rPr>
      </w:pPr>
      <w:r>
        <w:rPr>
          <w:rFonts w:hint="eastAsia" w:ascii="仿宋_GB2312"/>
          <w:szCs w:val="32"/>
        </w:rPr>
        <w:t>我部门2024年没有政府性基金预算。</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ascii="仿宋_GB2312"/>
          <w:szCs w:val="32"/>
        </w:rPr>
      </w:pPr>
      <w:r>
        <w:rPr>
          <w:rFonts w:hint="eastAsia" w:ascii="仿宋_GB2312"/>
          <w:szCs w:val="32"/>
        </w:rPr>
        <w:t>我部门2024年没有国有资本经营预算。</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（一）机关运行经费安排情况说明</w:t>
      </w:r>
    </w:p>
    <w:p>
      <w:pPr>
        <w:widowControl/>
        <w:shd w:val="clear" w:color="auto" w:fill="FFFFFF"/>
        <w:spacing w:line="360" w:lineRule="auto"/>
        <w:ind w:firstLine="800" w:firstLineChars="250"/>
        <w:jc w:val="left"/>
        <w:rPr>
          <w:szCs w:val="32"/>
        </w:rPr>
      </w:pPr>
      <w:r>
        <w:rPr>
          <w:rFonts w:hint="eastAsia" w:ascii="仿宋" w:hAnsi="仿宋" w:eastAsia="仿宋" w:cs="仿宋"/>
          <w:color w:val="404040"/>
          <w:kern w:val="0"/>
          <w:szCs w:val="32"/>
        </w:rPr>
        <w:t>机关运行经费</w:t>
      </w:r>
      <w:r>
        <w:rPr>
          <w:szCs w:val="32"/>
        </w:rPr>
        <w:t>总预算数额</w:t>
      </w:r>
      <w:r>
        <w:rPr>
          <w:rFonts w:hint="eastAsia"/>
          <w:szCs w:val="32"/>
        </w:rPr>
        <w:t>186.75</w:t>
      </w:r>
      <w:r>
        <w:rPr>
          <w:rFonts w:hint="eastAsia" w:ascii="仿宋" w:hAnsi="仿宋" w:eastAsia="仿宋" w:cs="仿宋"/>
          <w:color w:val="404040"/>
          <w:kern w:val="0"/>
          <w:szCs w:val="32"/>
        </w:rPr>
        <w:t>万元</w:t>
      </w:r>
      <w:r>
        <w:rPr>
          <w:rFonts w:hint="eastAsia"/>
          <w:szCs w:val="32"/>
        </w:rPr>
        <w:t xml:space="preserve"> ，</w:t>
      </w:r>
      <w:r>
        <w:rPr>
          <w:szCs w:val="32"/>
        </w:rPr>
        <w:t>与上年同比减</w:t>
      </w:r>
      <w:r>
        <w:rPr>
          <w:rFonts w:hint="eastAsia"/>
          <w:szCs w:val="32"/>
        </w:rPr>
        <w:t>少73.38</w:t>
      </w:r>
      <w:r>
        <w:rPr>
          <w:rFonts w:hint="eastAsia" w:ascii="仿宋" w:hAnsi="仿宋" w:eastAsia="仿宋" w:cs="仿宋"/>
          <w:color w:val="404040"/>
          <w:kern w:val="0"/>
          <w:szCs w:val="32"/>
        </w:rPr>
        <w:t>万元</w:t>
      </w:r>
      <w:r>
        <w:rPr>
          <w:rFonts w:hint="eastAsia"/>
          <w:szCs w:val="32"/>
        </w:rPr>
        <w:t xml:space="preserve"> ，</w:t>
      </w:r>
      <w:r>
        <w:rPr>
          <w:szCs w:val="32"/>
        </w:rPr>
        <w:t>减</w:t>
      </w:r>
      <w:r>
        <w:rPr>
          <w:rFonts w:hint="eastAsia"/>
          <w:szCs w:val="32"/>
        </w:rPr>
        <w:t>少28.21</w:t>
      </w:r>
      <w:r>
        <w:rPr>
          <w:szCs w:val="32"/>
        </w:rPr>
        <w:t>%，减</w:t>
      </w:r>
      <w:r>
        <w:rPr>
          <w:rFonts w:hint="eastAsia"/>
          <w:szCs w:val="32"/>
        </w:rPr>
        <w:t>少</w:t>
      </w:r>
      <w:r>
        <w:rPr>
          <w:szCs w:val="32"/>
        </w:rPr>
        <w:t>原因</w:t>
      </w:r>
      <w:r>
        <w:rPr>
          <w:rFonts w:hint="eastAsia" w:ascii="仿宋" w:hAnsi="仿宋" w:eastAsia="仿宋"/>
          <w:szCs w:val="32"/>
        </w:rPr>
        <w:t>是2024年政法专款提前批没有列入预算。</w:t>
      </w:r>
    </w:p>
    <w:p>
      <w:pPr>
        <w:autoSpaceDE w:val="0"/>
        <w:autoSpaceDN w:val="0"/>
        <w:adjustRightInd w:val="0"/>
        <w:spacing w:line="586" w:lineRule="exact"/>
        <w:ind w:firstLine="627" w:firstLineChars="196"/>
        <w:rPr>
          <w:szCs w:val="32"/>
        </w:rPr>
      </w:pPr>
      <w:r>
        <w:rPr>
          <w:rFonts w:hint="eastAsia" w:ascii="仿宋" w:hAnsi="仿宋" w:eastAsia="仿宋" w:cs="仿宋"/>
          <w:szCs w:val="32"/>
        </w:rPr>
        <w:t>我院机关运行经费</w:t>
      </w:r>
      <w:r>
        <w:rPr>
          <w:szCs w:val="32"/>
        </w:rPr>
        <w:t>按支出经济分类科目302（类）</w:t>
      </w:r>
      <w:r>
        <w:rPr>
          <w:rFonts w:hint="eastAsia"/>
          <w:szCs w:val="32"/>
        </w:rPr>
        <w:t>商品和服务支出</w:t>
      </w:r>
      <w:r>
        <w:rPr>
          <w:szCs w:val="32"/>
        </w:rPr>
        <w:t>01至99（款），各款级科目预算安排数额</w:t>
      </w:r>
      <w:r>
        <w:rPr>
          <w:rFonts w:hint="eastAsia"/>
          <w:szCs w:val="32"/>
        </w:rPr>
        <w:t>如下：</w:t>
      </w:r>
    </w:p>
    <w:p>
      <w:pPr>
        <w:widowControl/>
        <w:shd w:val="clear" w:color="auto" w:fill="FFFFFF"/>
        <w:spacing w:line="360" w:lineRule="auto"/>
        <w:ind w:left="93" w:leftChars="29" w:firstLine="640" w:firstLineChars="200"/>
        <w:jc w:val="left"/>
        <w:rPr>
          <w:rFonts w:ascii="仿宋" w:hAnsi="仿宋" w:eastAsia="仿宋" w:cs="仿宋"/>
          <w:szCs w:val="32"/>
        </w:rPr>
      </w:pPr>
      <w:r>
        <w:rPr>
          <w:rFonts w:hint="eastAsia" w:ascii="仿宋" w:hAnsi="仿宋" w:eastAsia="仿宋" w:cs="仿宋"/>
          <w:szCs w:val="32"/>
        </w:rPr>
        <w:t>办公费5.31万元、印刷费1.27万元、水费1.96万元、电费22.57万元、邮电费7.8万元、物业管理费65万元、差旅费17.7万元、日常维修费1.1万元、会议费1.12万元、培训费1.12</w:t>
      </w:r>
    </w:p>
    <w:p>
      <w:pPr>
        <w:widowControl/>
        <w:shd w:val="clear" w:color="auto" w:fill="FFFFFF"/>
        <w:spacing w:line="360" w:lineRule="auto"/>
        <w:ind w:left="93" w:leftChars="29"/>
        <w:jc w:val="left"/>
        <w:rPr>
          <w:rFonts w:ascii="仿宋" w:hAnsi="仿宋" w:eastAsia="仿宋" w:cs="仿宋"/>
          <w:szCs w:val="32"/>
        </w:rPr>
      </w:pPr>
      <w:r>
        <w:rPr>
          <w:rFonts w:hint="eastAsia" w:ascii="仿宋" w:hAnsi="仿宋" w:eastAsia="仿宋" w:cs="仿宋"/>
          <w:szCs w:val="32"/>
        </w:rPr>
        <w:t>万元、公务接待费0.8万元、工会经费7.78万元、福利费1.12</w:t>
      </w:r>
    </w:p>
    <w:p>
      <w:pPr>
        <w:widowControl/>
        <w:shd w:val="clear" w:color="auto" w:fill="FFFFFF"/>
        <w:spacing w:line="360" w:lineRule="auto"/>
        <w:jc w:val="left"/>
        <w:rPr>
          <w:szCs w:val="32"/>
        </w:rPr>
      </w:pPr>
      <w:r>
        <w:rPr>
          <w:rFonts w:hint="eastAsia" w:ascii="仿宋" w:hAnsi="仿宋" w:eastAsia="仿宋" w:cs="仿宋"/>
          <w:szCs w:val="32"/>
        </w:rPr>
        <w:t>万元、公务用车运行维护费11.4万元、其他交通费用32.7万元、其他商品和服务支出8.02万元，合计</w:t>
      </w:r>
      <w:r>
        <w:rPr>
          <w:rFonts w:hint="eastAsia"/>
          <w:szCs w:val="32"/>
        </w:rPr>
        <w:t>186.75</w:t>
      </w:r>
      <w:r>
        <w:rPr>
          <w:rFonts w:hint="eastAsia" w:ascii="仿宋" w:hAnsi="仿宋" w:eastAsia="仿宋" w:cs="仿宋"/>
          <w:color w:val="404040"/>
          <w:kern w:val="0"/>
          <w:szCs w:val="32"/>
        </w:rPr>
        <w:t>万元</w:t>
      </w:r>
      <w:r>
        <w:rPr>
          <w:rFonts w:hint="eastAsia" w:ascii="仿宋" w:hAnsi="仿宋" w:eastAsia="仿宋" w:cs="仿宋"/>
          <w:szCs w:val="32"/>
        </w:rPr>
        <w:t>。</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ascii="楷体_GB2312" w:hAnsi="楷体_GB2312" w:eastAsia="楷体_GB2312" w:cs="楷体_GB2312"/>
          <w:kern w:val="0"/>
        </w:rPr>
      </w:pPr>
      <w:r>
        <w:rPr>
          <w:rFonts w:hint="eastAsia" w:ascii="仿宋_GB2312" w:hAnsi="宋体"/>
          <w:szCs w:val="32"/>
        </w:rPr>
        <w:t>我部门2024年政府采购预算总金额0万元。</w:t>
      </w:r>
      <w:r>
        <w:rPr>
          <w:szCs w:val="32"/>
        </w:rPr>
        <w:t>与上年同比减</w:t>
      </w:r>
      <w:r>
        <w:rPr>
          <w:rFonts w:hint="eastAsia"/>
          <w:szCs w:val="32"/>
        </w:rPr>
        <w:t>少55</w:t>
      </w:r>
      <w:r>
        <w:rPr>
          <w:rFonts w:hint="eastAsia" w:ascii="仿宋" w:hAnsi="仿宋" w:eastAsia="仿宋" w:cs="仿宋"/>
          <w:color w:val="404040"/>
          <w:kern w:val="0"/>
          <w:szCs w:val="32"/>
        </w:rPr>
        <w:t>万元</w:t>
      </w:r>
      <w:r>
        <w:rPr>
          <w:rFonts w:hint="eastAsia"/>
          <w:szCs w:val="32"/>
        </w:rPr>
        <w:t xml:space="preserve"> ，</w:t>
      </w:r>
      <w:r>
        <w:rPr>
          <w:szCs w:val="32"/>
        </w:rPr>
        <w:t>减</w:t>
      </w:r>
      <w:r>
        <w:rPr>
          <w:rFonts w:hint="eastAsia"/>
          <w:szCs w:val="32"/>
        </w:rPr>
        <w:t>少100</w:t>
      </w:r>
      <w:r>
        <w:rPr>
          <w:szCs w:val="32"/>
        </w:rPr>
        <w:t>%，减</w:t>
      </w:r>
      <w:r>
        <w:rPr>
          <w:rFonts w:hint="eastAsia"/>
          <w:szCs w:val="32"/>
        </w:rPr>
        <w:t>少</w:t>
      </w:r>
      <w:r>
        <w:rPr>
          <w:szCs w:val="32"/>
        </w:rPr>
        <w:t>原因</w:t>
      </w:r>
      <w:r>
        <w:rPr>
          <w:rFonts w:hint="eastAsia" w:ascii="仿宋" w:hAnsi="仿宋" w:eastAsia="仿宋"/>
          <w:szCs w:val="32"/>
        </w:rPr>
        <w:t>是2024年政法专款提前批没有列入预算。到时再追加</w:t>
      </w:r>
      <w:r>
        <w:rPr>
          <w:rFonts w:hint="eastAsia" w:ascii="仿宋_GB2312" w:hAnsi="宋体"/>
          <w:szCs w:val="32"/>
        </w:rPr>
        <w:t>政府采购预算。</w:t>
      </w:r>
    </w:p>
    <w:p>
      <w:pPr>
        <w:widowControl/>
        <w:shd w:val="clear" w:color="auto" w:fill="FFFFFF"/>
        <w:spacing w:line="360" w:lineRule="auto"/>
        <w:ind w:firstLine="800" w:firstLineChars="250"/>
        <w:jc w:val="left"/>
        <w:rPr>
          <w:szCs w:val="32"/>
        </w:rPr>
      </w:pPr>
      <w:r>
        <w:rPr>
          <w:rFonts w:hint="eastAsia" w:ascii="仿宋_GB2312" w:hAnsi="宋体"/>
          <w:szCs w:val="32"/>
        </w:rPr>
        <w:t>其中：货物类采购0万元，</w:t>
      </w:r>
      <w:r>
        <w:rPr>
          <w:szCs w:val="32"/>
        </w:rPr>
        <w:t>与上年同比减</w:t>
      </w:r>
      <w:r>
        <w:rPr>
          <w:rFonts w:hint="eastAsia"/>
          <w:szCs w:val="32"/>
        </w:rPr>
        <w:t>少55</w:t>
      </w:r>
      <w:r>
        <w:rPr>
          <w:rFonts w:hint="eastAsia" w:ascii="仿宋" w:hAnsi="仿宋" w:eastAsia="仿宋" w:cs="仿宋"/>
          <w:color w:val="404040"/>
          <w:kern w:val="0"/>
          <w:szCs w:val="32"/>
        </w:rPr>
        <w:t>万元</w:t>
      </w:r>
      <w:r>
        <w:rPr>
          <w:rFonts w:hint="eastAsia"/>
          <w:szCs w:val="32"/>
        </w:rPr>
        <w:t xml:space="preserve"> ，</w:t>
      </w:r>
      <w:r>
        <w:rPr>
          <w:szCs w:val="32"/>
        </w:rPr>
        <w:t>减</w:t>
      </w:r>
      <w:r>
        <w:rPr>
          <w:rFonts w:hint="eastAsia"/>
          <w:szCs w:val="32"/>
        </w:rPr>
        <w:t>少100</w:t>
      </w:r>
      <w:r>
        <w:rPr>
          <w:szCs w:val="32"/>
        </w:rPr>
        <w:t>%，减</w:t>
      </w:r>
      <w:r>
        <w:rPr>
          <w:rFonts w:hint="eastAsia"/>
          <w:szCs w:val="32"/>
        </w:rPr>
        <w:t>少</w:t>
      </w:r>
      <w:r>
        <w:rPr>
          <w:szCs w:val="32"/>
        </w:rPr>
        <w:t>原因</w:t>
      </w:r>
      <w:r>
        <w:rPr>
          <w:rFonts w:hint="eastAsia" w:ascii="仿宋" w:hAnsi="仿宋" w:eastAsia="仿宋"/>
          <w:szCs w:val="32"/>
        </w:rPr>
        <w:t>是2024年政法专款提前批没有列入预算。</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kern w:val="0"/>
        </w:rPr>
        <w:t>（三）国有资产占用情况说明</w:t>
      </w:r>
    </w:p>
    <w:p>
      <w:pPr>
        <w:autoSpaceDE w:val="0"/>
        <w:autoSpaceDN w:val="0"/>
        <w:adjustRightInd w:val="0"/>
        <w:ind w:left="-224" w:leftChars="-70" w:firstLine="787" w:firstLineChars="245"/>
        <w:rPr>
          <w:rFonts w:ascii="仿宋" w:hAnsi="仿宋" w:eastAsia="仿宋"/>
          <w:b/>
          <w:szCs w:val="32"/>
        </w:rPr>
      </w:pPr>
      <w:r>
        <w:rPr>
          <w:rFonts w:hint="eastAsia" w:ascii="仿宋" w:hAnsi="仿宋" w:eastAsia="仿宋"/>
          <w:b/>
          <w:szCs w:val="32"/>
        </w:rPr>
        <w:t>1、</w:t>
      </w:r>
      <w:r>
        <w:rPr>
          <w:rFonts w:ascii="仿宋" w:hAnsi="仿宋" w:eastAsia="仿宋"/>
          <w:b/>
          <w:szCs w:val="32"/>
        </w:rPr>
        <w:t>总体情况</w:t>
      </w:r>
    </w:p>
    <w:p>
      <w:pPr>
        <w:autoSpaceDE w:val="0"/>
        <w:autoSpaceDN w:val="0"/>
        <w:adjustRightInd w:val="0"/>
        <w:ind w:left="-224" w:leftChars="-70" w:firstLine="784" w:firstLineChars="245"/>
        <w:rPr>
          <w:rFonts w:ascii="仿宋" w:hAnsi="仿宋" w:eastAsia="仿宋"/>
          <w:color w:val="000000"/>
          <w:kern w:val="0"/>
          <w:szCs w:val="32"/>
        </w:rPr>
      </w:pPr>
      <w:r>
        <w:rPr>
          <w:rFonts w:hint="eastAsia" w:ascii="仿宋" w:hAnsi="仿宋" w:eastAsia="仿宋"/>
          <w:kern w:val="0"/>
          <w:szCs w:val="32"/>
        </w:rPr>
        <w:t>截至2023年12月31日</w:t>
      </w:r>
      <w:r>
        <w:rPr>
          <w:rFonts w:hint="eastAsia" w:ascii="仿宋" w:hAnsi="仿宋" w:eastAsia="仿宋"/>
          <w:color w:val="000000"/>
          <w:kern w:val="0"/>
          <w:szCs w:val="32"/>
        </w:rPr>
        <w:t>，我单位资产总额（账面净值，下同）1953.82万元，较上年减少234.9万元，减少10.73%，主要原因是案件款收入比上年少。</w:t>
      </w:r>
    </w:p>
    <w:p>
      <w:pPr>
        <w:autoSpaceDE w:val="0"/>
        <w:autoSpaceDN w:val="0"/>
        <w:adjustRightInd w:val="0"/>
        <w:ind w:left="-224" w:leftChars="-70" w:firstLine="784" w:firstLineChars="245"/>
        <w:rPr>
          <w:rFonts w:ascii="仿宋" w:hAnsi="仿宋" w:eastAsia="仿宋"/>
          <w:color w:val="000000"/>
          <w:kern w:val="0"/>
          <w:szCs w:val="32"/>
        </w:rPr>
      </w:pPr>
      <w:r>
        <w:rPr>
          <w:rFonts w:hint="eastAsia" w:ascii="仿宋" w:hAnsi="仿宋" w:eastAsia="仿宋"/>
          <w:color w:val="000000"/>
          <w:kern w:val="0"/>
          <w:szCs w:val="32"/>
        </w:rPr>
        <w:t>负债总额66.6万元 , 较上年减少139.47万元 , 减少67.68%，主要原因是案件款收入比上年少。</w:t>
      </w:r>
    </w:p>
    <w:p>
      <w:pPr>
        <w:autoSpaceDE w:val="0"/>
        <w:autoSpaceDN w:val="0"/>
        <w:adjustRightInd w:val="0"/>
        <w:ind w:left="-224" w:leftChars="-70" w:firstLine="784" w:firstLineChars="245"/>
        <w:rPr>
          <w:rFonts w:ascii="仿宋" w:hAnsi="仿宋" w:eastAsia="仿宋"/>
          <w:color w:val="000000"/>
          <w:kern w:val="0"/>
          <w:szCs w:val="32"/>
        </w:rPr>
      </w:pPr>
      <w:r>
        <w:rPr>
          <w:rFonts w:hint="eastAsia" w:ascii="仿宋" w:hAnsi="仿宋" w:eastAsia="仿宋"/>
          <w:color w:val="000000"/>
          <w:kern w:val="0"/>
          <w:szCs w:val="32"/>
        </w:rPr>
        <w:t>净资产1，887.22万元 , 较上年减少95.43万元 , 减少4.81%。主要原因是案件款收入比上年少。</w:t>
      </w:r>
    </w:p>
    <w:p>
      <w:pPr>
        <w:spacing w:line="276" w:lineRule="auto"/>
        <w:ind w:left="819" w:leftChars="256"/>
        <w:jc w:val="left"/>
        <w:rPr>
          <w:rFonts w:ascii="仿宋" w:hAnsi="仿宋" w:eastAsia="仿宋"/>
          <w:szCs w:val="32"/>
        </w:rPr>
      </w:pPr>
      <w:r>
        <w:rPr>
          <w:rFonts w:hint="eastAsia" w:ascii="仿宋" w:hAnsi="仿宋" w:eastAsia="仿宋"/>
          <w:b/>
          <w:color w:val="000000"/>
          <w:szCs w:val="32"/>
        </w:rPr>
        <w:t>2、资产分布情况。</w:t>
      </w:r>
    </w:p>
    <w:p>
      <w:pPr>
        <w:spacing w:line="276" w:lineRule="auto"/>
        <w:ind w:firstLine="640" w:firstLineChars="200"/>
        <w:jc w:val="left"/>
        <w:rPr>
          <w:rFonts w:ascii="仿宋" w:hAnsi="仿宋" w:eastAsia="仿宋"/>
          <w:szCs w:val="32"/>
        </w:rPr>
      </w:pPr>
      <w:r>
        <w:rPr>
          <w:rFonts w:hint="eastAsia" w:ascii="仿宋" w:hAnsi="仿宋" w:eastAsia="仿宋"/>
          <w:color w:val="000000"/>
          <w:szCs w:val="32"/>
        </w:rPr>
        <w:t>我</w:t>
      </w:r>
      <w:r>
        <w:rPr>
          <w:rFonts w:hint="eastAsia" w:ascii="仿宋" w:hAnsi="仿宋" w:eastAsia="仿宋"/>
          <w:szCs w:val="32"/>
        </w:rPr>
        <w:t>院</w:t>
      </w:r>
      <w:r>
        <w:rPr>
          <w:rFonts w:hint="eastAsia" w:ascii="仿宋" w:hAnsi="仿宋" w:eastAsia="仿宋"/>
          <w:color w:val="000000"/>
          <w:szCs w:val="32"/>
        </w:rPr>
        <w:t>行政单位国有资产</w:t>
      </w:r>
      <w:r>
        <w:rPr>
          <w:rFonts w:hint="eastAsia" w:ascii="仿宋" w:hAnsi="仿宋" w:eastAsia="仿宋"/>
          <w:color w:val="000000"/>
          <w:kern w:val="0"/>
          <w:szCs w:val="32"/>
        </w:rPr>
        <w:t>1953.82</w:t>
      </w:r>
      <w:r>
        <w:rPr>
          <w:rFonts w:hint="eastAsia" w:ascii="仿宋" w:hAnsi="仿宋" w:eastAsia="仿宋"/>
          <w:color w:val="000000"/>
          <w:szCs w:val="32"/>
        </w:rPr>
        <w:t>万元，占100.00%；事业单位国有资产0万元，占0.00%，其中执行民间非营利组织会计制度的社会团体国有资产0万元，占0.00%。</w:t>
      </w:r>
    </w:p>
    <w:p>
      <w:pPr>
        <w:spacing w:line="276" w:lineRule="auto"/>
        <w:ind w:firstLine="630" w:firstLineChars="196"/>
        <w:jc w:val="left"/>
        <w:rPr>
          <w:rFonts w:ascii="仿宋" w:hAnsi="仿宋" w:eastAsia="仿宋"/>
          <w:szCs w:val="32"/>
        </w:rPr>
      </w:pPr>
      <w:r>
        <w:rPr>
          <w:rFonts w:hint="eastAsia" w:ascii="仿宋" w:hAnsi="仿宋" w:eastAsia="仿宋"/>
          <w:b/>
          <w:color w:val="000000"/>
          <w:szCs w:val="32"/>
        </w:rPr>
        <w:t>3、资产构成情况。</w:t>
      </w:r>
    </w:p>
    <w:p>
      <w:pPr>
        <w:spacing w:line="276" w:lineRule="auto"/>
        <w:ind w:firstLine="640" w:firstLineChars="200"/>
        <w:jc w:val="left"/>
        <w:rPr>
          <w:rFonts w:ascii="仿宋" w:hAnsi="仿宋" w:eastAsia="仿宋"/>
          <w:color w:val="000000"/>
          <w:szCs w:val="32"/>
        </w:rPr>
      </w:pPr>
      <w:r>
        <w:rPr>
          <w:rFonts w:hint="eastAsia" w:ascii="仿宋" w:hAnsi="仿宋" w:eastAsia="仿宋"/>
          <w:color w:val="000000"/>
          <w:szCs w:val="32"/>
        </w:rPr>
        <w:t>流动资产66.56</w:t>
      </w:r>
      <w:r>
        <w:rPr>
          <w:rFonts w:hint="eastAsia" w:ascii="仿宋" w:hAnsi="仿宋" w:eastAsia="仿宋"/>
          <w:color w:val="000000"/>
          <w:kern w:val="0"/>
          <w:szCs w:val="32"/>
        </w:rPr>
        <w:t>万元 , 较上年减少145.97万元 , 减少68.68%，主要原因是案件款收入比上年少，</w:t>
      </w:r>
      <w:r>
        <w:rPr>
          <w:rFonts w:hint="eastAsia" w:ascii="仿宋" w:hAnsi="仿宋" w:eastAsia="仿宋"/>
          <w:color w:val="000000"/>
          <w:szCs w:val="32"/>
        </w:rPr>
        <w:t>占资产总额3.41% ；</w:t>
      </w:r>
    </w:p>
    <w:p>
      <w:pPr>
        <w:spacing w:line="276" w:lineRule="auto"/>
        <w:ind w:firstLine="640" w:firstLineChars="200"/>
        <w:jc w:val="left"/>
        <w:rPr>
          <w:rFonts w:ascii="仿宋" w:hAnsi="仿宋" w:eastAsia="仿宋"/>
          <w:color w:val="000000"/>
          <w:szCs w:val="32"/>
        </w:rPr>
      </w:pPr>
      <w:r>
        <w:rPr>
          <w:rFonts w:hint="eastAsia" w:ascii="仿宋" w:hAnsi="仿宋" w:eastAsia="仿宋"/>
          <w:color w:val="000000"/>
          <w:szCs w:val="32"/>
        </w:rPr>
        <w:t>固定资产1765.53</w:t>
      </w:r>
      <w:r>
        <w:rPr>
          <w:rFonts w:hint="eastAsia" w:ascii="仿宋" w:hAnsi="仿宋" w:eastAsia="仿宋"/>
          <w:color w:val="000000"/>
          <w:kern w:val="0"/>
          <w:szCs w:val="32"/>
        </w:rPr>
        <w:t>万元 , 较上年减少92.62万元 , 减少4.98%，主要原因是提折旧，</w:t>
      </w:r>
      <w:r>
        <w:rPr>
          <w:rFonts w:hint="eastAsia" w:ascii="仿宋" w:hAnsi="仿宋" w:eastAsia="仿宋"/>
          <w:color w:val="000000"/>
          <w:szCs w:val="32"/>
        </w:rPr>
        <w:t>占资产总额90.36% ；</w:t>
      </w:r>
    </w:p>
    <w:p>
      <w:pPr>
        <w:spacing w:line="276" w:lineRule="auto"/>
        <w:ind w:firstLine="640" w:firstLineChars="200"/>
        <w:jc w:val="left"/>
        <w:rPr>
          <w:rFonts w:ascii="仿宋" w:hAnsi="仿宋" w:eastAsia="仿宋"/>
          <w:color w:val="000000"/>
          <w:szCs w:val="32"/>
        </w:rPr>
      </w:pPr>
      <w:r>
        <w:rPr>
          <w:rFonts w:hint="eastAsia" w:ascii="仿宋" w:hAnsi="仿宋" w:eastAsia="仿宋"/>
          <w:color w:val="000000"/>
          <w:szCs w:val="32"/>
        </w:rPr>
        <w:t>在建工程121.73万元，较上年增长3.69万元，较上年增长3.13% ，占资产总额6.23% ；</w:t>
      </w:r>
    </w:p>
    <w:p>
      <w:pPr>
        <w:spacing w:line="276" w:lineRule="auto"/>
        <w:ind w:firstLine="640" w:firstLineChars="200"/>
        <w:jc w:val="left"/>
        <w:rPr>
          <w:rFonts w:ascii="仿宋" w:hAnsi="仿宋" w:eastAsia="仿宋"/>
          <w:color w:val="000000"/>
          <w:szCs w:val="32"/>
        </w:rPr>
      </w:pPr>
      <w:r>
        <w:rPr>
          <w:rFonts w:hint="eastAsia" w:ascii="仿宋" w:hAnsi="仿宋" w:eastAsia="仿宋"/>
          <w:color w:val="000000"/>
          <w:szCs w:val="32"/>
        </w:rPr>
        <w:t>长期投资0万元 ，占资产总额0.00%；</w:t>
      </w:r>
    </w:p>
    <w:p>
      <w:pPr>
        <w:spacing w:line="276" w:lineRule="auto"/>
        <w:ind w:firstLine="640" w:firstLineChars="200"/>
        <w:jc w:val="left"/>
        <w:rPr>
          <w:rFonts w:ascii="仿宋" w:hAnsi="仿宋" w:eastAsia="仿宋"/>
          <w:color w:val="000000"/>
          <w:szCs w:val="32"/>
        </w:rPr>
      </w:pPr>
      <w:r>
        <w:rPr>
          <w:rFonts w:hint="eastAsia" w:ascii="仿宋" w:hAnsi="仿宋" w:eastAsia="仿宋"/>
          <w:color w:val="000000"/>
          <w:szCs w:val="32"/>
        </w:rPr>
        <w:t xml:space="preserve">无形资产0万元，较上年增长0 % ；占资产总额 0.00%； </w:t>
      </w:r>
    </w:p>
    <w:p>
      <w:pPr>
        <w:spacing w:line="276" w:lineRule="auto"/>
        <w:ind w:firstLine="640" w:firstLineChars="200"/>
        <w:jc w:val="left"/>
        <w:rPr>
          <w:rFonts w:ascii="仿宋" w:hAnsi="仿宋" w:eastAsia="仿宋"/>
          <w:color w:val="000000"/>
          <w:szCs w:val="32"/>
        </w:rPr>
      </w:pPr>
      <w:r>
        <w:rPr>
          <w:rFonts w:hint="eastAsia" w:ascii="仿宋" w:hAnsi="仿宋" w:eastAsia="仿宋"/>
          <w:color w:val="000000"/>
          <w:szCs w:val="32"/>
        </w:rPr>
        <w:t>公共基础设施 0万元，占资产总额 0.00% ；</w:t>
      </w:r>
    </w:p>
    <w:p>
      <w:pPr>
        <w:spacing w:line="276" w:lineRule="auto"/>
        <w:ind w:firstLine="640" w:firstLineChars="200"/>
        <w:jc w:val="left"/>
        <w:rPr>
          <w:rFonts w:ascii="仿宋" w:hAnsi="仿宋" w:eastAsia="仿宋"/>
          <w:color w:val="000000"/>
          <w:szCs w:val="32"/>
        </w:rPr>
      </w:pPr>
      <w:r>
        <w:rPr>
          <w:rFonts w:hint="eastAsia" w:ascii="仿宋" w:hAnsi="仿宋" w:eastAsia="仿宋"/>
          <w:color w:val="000000"/>
          <w:szCs w:val="32"/>
        </w:rPr>
        <w:t>政府储备物资 0万元，占资产总额 0.00% ；</w:t>
      </w:r>
    </w:p>
    <w:p>
      <w:pPr>
        <w:spacing w:line="276" w:lineRule="auto"/>
        <w:ind w:firstLine="640" w:firstLineChars="200"/>
        <w:jc w:val="left"/>
        <w:rPr>
          <w:rFonts w:ascii="仿宋" w:hAnsi="仿宋" w:eastAsia="仿宋"/>
          <w:color w:val="000000"/>
          <w:szCs w:val="32"/>
        </w:rPr>
      </w:pPr>
      <w:r>
        <w:rPr>
          <w:rFonts w:hint="eastAsia" w:ascii="仿宋" w:hAnsi="仿宋" w:eastAsia="仿宋"/>
          <w:color w:val="000000"/>
          <w:szCs w:val="32"/>
        </w:rPr>
        <w:t>文物文化资产 0 万元，占资产总额 0.00% ；</w:t>
      </w:r>
    </w:p>
    <w:p>
      <w:pPr>
        <w:spacing w:line="276" w:lineRule="auto"/>
        <w:ind w:firstLine="640" w:firstLineChars="200"/>
        <w:jc w:val="left"/>
        <w:rPr>
          <w:rFonts w:ascii="仿宋" w:hAnsi="仿宋" w:eastAsia="仿宋"/>
          <w:color w:val="000000"/>
          <w:szCs w:val="32"/>
        </w:rPr>
      </w:pPr>
      <w:r>
        <w:rPr>
          <w:rFonts w:hint="eastAsia" w:ascii="仿宋" w:hAnsi="仿宋" w:eastAsia="仿宋"/>
          <w:color w:val="000000"/>
          <w:szCs w:val="32"/>
        </w:rPr>
        <w:t>保障性住房 0万元，占资产总额0.00 %；其他资产 0万元，占资产总额0.00 % 。</w:t>
      </w:r>
    </w:p>
    <w:p>
      <w:pPr>
        <w:spacing w:line="276" w:lineRule="auto"/>
        <w:ind w:left="1024" w:leftChars="320" w:firstLine="157" w:firstLineChars="49"/>
        <w:jc w:val="left"/>
        <w:rPr>
          <w:rFonts w:ascii="仿宋" w:hAnsi="仿宋" w:eastAsia="仿宋"/>
          <w:szCs w:val="32"/>
        </w:rPr>
      </w:pPr>
      <w:r>
        <w:rPr>
          <w:rFonts w:hint="eastAsia" w:ascii="仿宋" w:hAnsi="仿宋" w:eastAsia="仿宋"/>
          <w:b/>
          <w:color w:val="000000"/>
          <w:szCs w:val="32"/>
        </w:rPr>
        <w:t>4、固定资产构成情况。</w:t>
      </w:r>
    </w:p>
    <w:p>
      <w:pPr>
        <w:autoSpaceDE w:val="0"/>
        <w:autoSpaceDN w:val="0"/>
        <w:adjustRightInd w:val="0"/>
        <w:spacing w:line="276" w:lineRule="auto"/>
        <w:ind w:left="-224" w:leftChars="-70" w:firstLine="784" w:firstLineChars="245"/>
        <w:rPr>
          <w:rFonts w:ascii="仿宋" w:hAnsi="仿宋" w:eastAsia="仿宋"/>
          <w:color w:val="000000"/>
          <w:kern w:val="0"/>
          <w:szCs w:val="32"/>
        </w:rPr>
      </w:pPr>
      <w:r>
        <w:rPr>
          <w:rFonts w:hint="eastAsia" w:ascii="仿宋" w:hAnsi="仿宋" w:eastAsia="仿宋"/>
          <w:color w:val="000000"/>
          <w:kern w:val="0"/>
          <w:szCs w:val="32"/>
        </w:rPr>
        <w:t xml:space="preserve"> 土地、房屋及构筑物1,662.5万元，占固定资产的94.16</w:t>
      </w:r>
    </w:p>
    <w:p>
      <w:pPr>
        <w:autoSpaceDE w:val="0"/>
        <w:autoSpaceDN w:val="0"/>
        <w:adjustRightInd w:val="0"/>
        <w:spacing w:line="276" w:lineRule="auto"/>
        <w:rPr>
          <w:rFonts w:ascii="仿宋" w:hAnsi="仿宋" w:eastAsia="仿宋"/>
          <w:color w:val="000000"/>
          <w:kern w:val="0"/>
          <w:szCs w:val="32"/>
        </w:rPr>
      </w:pPr>
      <w:r>
        <w:rPr>
          <w:rFonts w:hint="eastAsia" w:ascii="仿宋" w:hAnsi="仿宋" w:eastAsia="仿宋"/>
          <w:color w:val="000000"/>
          <w:kern w:val="0"/>
          <w:szCs w:val="32"/>
        </w:rPr>
        <w:t>% （其中，房屋1,662.5万元，占固定资产的94.16%）；设备113.83万元，占固定资产的6.45%（其中，车辆37.24万元，占固定资产的2.11% ，单价200万（含）以上（不含车辆）设备 0万元，占 0.00%）；文物和陈列品0万元，占 0.00 % ；图书档案0万元，占0.00% ； 家具、用具26.05万元，占固定资产的1.48% ；特种动植物 0万元，占0.00 %。</w:t>
      </w:r>
    </w:p>
    <w:p>
      <w:pPr>
        <w:tabs>
          <w:tab w:val="center" w:pos="4475"/>
        </w:tabs>
        <w:spacing w:line="600" w:lineRule="exact"/>
        <w:ind w:firstLine="643" w:firstLineChars="200"/>
        <w:rPr>
          <w:rFonts w:ascii="仿宋" w:hAnsi="仿宋" w:eastAsia="仿宋"/>
          <w:b/>
          <w:szCs w:val="32"/>
        </w:rPr>
      </w:pPr>
      <w:r>
        <w:rPr>
          <w:rFonts w:hint="eastAsia" w:ascii="仿宋" w:hAnsi="仿宋" w:eastAsia="仿宋" w:cs="仿宋"/>
          <w:b/>
          <w:color w:val="404040"/>
          <w:kern w:val="0"/>
          <w:szCs w:val="32"/>
        </w:rPr>
        <w:t>5、</w:t>
      </w:r>
      <w:r>
        <w:rPr>
          <w:rFonts w:ascii="仿宋" w:hAnsi="仿宋" w:eastAsia="仿宋"/>
          <w:b/>
          <w:szCs w:val="32"/>
        </w:rPr>
        <w:t>车辆</w:t>
      </w:r>
      <w:r>
        <w:rPr>
          <w:rFonts w:hint="eastAsia" w:ascii="仿宋" w:hAnsi="仿宋" w:eastAsia="仿宋"/>
          <w:b/>
          <w:szCs w:val="32"/>
        </w:rPr>
        <w:t>情况</w:t>
      </w:r>
    </w:p>
    <w:p>
      <w:pPr>
        <w:tabs>
          <w:tab w:val="center" w:pos="4475"/>
        </w:tabs>
        <w:spacing w:line="600" w:lineRule="exact"/>
        <w:ind w:firstLine="640" w:firstLineChars="200"/>
        <w:rPr>
          <w:rFonts w:ascii="仿宋" w:hAnsi="仿宋" w:eastAsia="仿宋" w:cs="仿宋"/>
          <w:color w:val="404040"/>
          <w:kern w:val="0"/>
          <w:szCs w:val="32"/>
        </w:rPr>
      </w:pPr>
      <w:r>
        <w:rPr>
          <w:rFonts w:hint="eastAsia" w:ascii="仿宋" w:hAnsi="仿宋" w:eastAsia="仿宋" w:cs="仿宋"/>
          <w:color w:val="404040"/>
          <w:kern w:val="0"/>
          <w:szCs w:val="32"/>
        </w:rPr>
        <w:t>根据自治区公务用车制度改革方案相关规定核定我院保留的公务用车编制为6辆，全部为小型普通客车。其中:1、执法执勤用车编制5辆，实有车辆5辆。2、特种业务用车辆编制1辆，实有车辆1辆.统一由院办公室管理，其他科室没有。</w:t>
      </w:r>
    </w:p>
    <w:p>
      <w:pPr>
        <w:tabs>
          <w:tab w:val="center" w:pos="4475"/>
        </w:tabs>
        <w:spacing w:line="600" w:lineRule="exact"/>
        <w:ind w:firstLine="640" w:firstLineChars="200"/>
        <w:rPr>
          <w:rFonts w:ascii="仿宋" w:hAnsi="仿宋" w:eastAsia="仿宋" w:cs="仿宋"/>
          <w:kern w:val="0"/>
          <w:szCs w:val="32"/>
        </w:rPr>
      </w:pPr>
      <w:r>
        <w:rPr>
          <w:rFonts w:hint="eastAsia" w:ascii="仿宋" w:hAnsi="仿宋" w:eastAsia="仿宋" w:cs="仿宋"/>
          <w:color w:val="404040"/>
          <w:kern w:val="0"/>
          <w:szCs w:val="32"/>
        </w:rPr>
        <w:t>其他固定资产设备每个科室都有一些。</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（四）预算绩效目标情况说明</w:t>
      </w:r>
    </w:p>
    <w:p>
      <w:pPr>
        <w:tabs>
          <w:tab w:val="center" w:pos="4475"/>
        </w:tabs>
        <w:spacing w:line="560" w:lineRule="exact"/>
        <w:ind w:firstLine="645"/>
        <w:rPr>
          <w:rFonts w:ascii="仿宋_GB2312"/>
          <w:szCs w:val="32"/>
        </w:rPr>
      </w:pPr>
      <w:r>
        <w:rPr>
          <w:rFonts w:hint="eastAsia" w:ascii="仿宋_GB2312"/>
          <w:szCs w:val="32"/>
        </w:rPr>
        <w:t>1.我部门2024年所有项目支出全面实施绩效目标管理，涉及市本级项目4个，资金113.4万元；对下转移支付项目0个，预算资金0万元。（日常运转类项目、工资类人员经费项目和涉密项目等除外）。</w:t>
      </w:r>
    </w:p>
    <w:p>
      <w:pPr>
        <w:widowControl/>
        <w:shd w:val="clear" w:color="auto" w:fill="FFFFFF"/>
        <w:ind w:firstLine="640" w:firstLineChars="200"/>
        <w:jc w:val="left"/>
        <w:rPr>
          <w:rFonts w:ascii="仿宋_GB2312"/>
          <w:szCs w:val="32"/>
        </w:rPr>
      </w:pPr>
      <w:r>
        <w:rPr>
          <w:rFonts w:hint="eastAsia" w:ascii="仿宋_GB2312"/>
          <w:szCs w:val="32"/>
        </w:rPr>
        <w:t>2.重点项目预算绩效目标说明。</w:t>
      </w:r>
    </w:p>
    <w:p>
      <w:pPr>
        <w:widowControl/>
        <w:shd w:val="clear" w:color="auto" w:fill="FFFFFF"/>
        <w:ind w:firstLine="640" w:firstLineChars="200"/>
        <w:jc w:val="left"/>
        <w:rPr>
          <w:rFonts w:ascii="仿宋" w:hAnsi="仿宋" w:eastAsia="仿宋" w:cs="仿宋"/>
          <w:color w:val="404040"/>
          <w:kern w:val="0"/>
          <w:szCs w:val="32"/>
        </w:rPr>
      </w:pPr>
      <w:r>
        <w:rPr>
          <w:rFonts w:hint="eastAsia" w:ascii="仿宋" w:hAnsi="仿宋" w:eastAsia="仿宋"/>
          <w:szCs w:val="32"/>
        </w:rPr>
        <w:t>重点</w:t>
      </w:r>
      <w:r>
        <w:rPr>
          <w:rFonts w:ascii="仿宋" w:hAnsi="仿宋" w:eastAsia="仿宋"/>
          <w:szCs w:val="32"/>
        </w:rPr>
        <w:t>项目绩效目标个数</w:t>
      </w:r>
      <w:r>
        <w:rPr>
          <w:rFonts w:hint="eastAsia" w:ascii="仿宋" w:hAnsi="仿宋" w:eastAsia="仿宋"/>
          <w:szCs w:val="32"/>
        </w:rPr>
        <w:t>1个，涉及一般公共</w:t>
      </w:r>
      <w:r>
        <w:rPr>
          <w:rFonts w:ascii="仿宋" w:hAnsi="仿宋" w:eastAsia="仿宋"/>
          <w:szCs w:val="32"/>
        </w:rPr>
        <w:t>预算</w:t>
      </w:r>
      <w:r>
        <w:rPr>
          <w:rFonts w:hint="eastAsia" w:ascii="仿宋" w:hAnsi="仿宋" w:eastAsia="仿宋"/>
          <w:szCs w:val="32"/>
        </w:rPr>
        <w:t>拨款</w:t>
      </w:r>
      <w:r>
        <w:rPr>
          <w:rFonts w:hint="eastAsia" w:ascii="仿宋" w:hAnsi="仿宋" w:eastAsia="仿宋" w:cs="仿宋"/>
          <w:color w:val="404040"/>
          <w:kern w:val="0"/>
          <w:szCs w:val="32"/>
        </w:rPr>
        <w:t>20</w:t>
      </w:r>
    </w:p>
    <w:p>
      <w:pPr>
        <w:widowControl/>
        <w:shd w:val="clear" w:color="auto" w:fill="FFFFFF"/>
        <w:jc w:val="left"/>
        <w:rPr>
          <w:rFonts w:ascii="仿宋" w:hAnsi="仿宋" w:eastAsia="仿宋"/>
          <w:szCs w:val="32"/>
        </w:rPr>
      </w:pPr>
      <w:r>
        <w:rPr>
          <w:rFonts w:hint="eastAsia" w:ascii="仿宋" w:hAnsi="仿宋" w:eastAsia="仿宋" w:cs="仿宋"/>
          <w:color w:val="404040"/>
          <w:kern w:val="0"/>
          <w:szCs w:val="32"/>
        </w:rPr>
        <w:t>万元</w:t>
      </w:r>
      <w:r>
        <w:rPr>
          <w:rFonts w:hint="eastAsia" w:ascii="仿宋" w:hAnsi="仿宋" w:eastAsia="仿宋"/>
          <w:szCs w:val="32"/>
        </w:rPr>
        <w:t>，相关绩效目标情况详见公开表13表，现说明</w:t>
      </w:r>
      <w:r>
        <w:rPr>
          <w:rFonts w:ascii="仿宋" w:hAnsi="仿宋" w:eastAsia="仿宋"/>
          <w:szCs w:val="32"/>
        </w:rPr>
        <w:t>情况</w:t>
      </w:r>
      <w:r>
        <w:rPr>
          <w:rFonts w:hint="eastAsia" w:ascii="仿宋" w:hAnsi="仿宋" w:eastAsia="仿宋"/>
          <w:szCs w:val="32"/>
        </w:rPr>
        <w:t>如下：</w:t>
      </w:r>
    </w:p>
    <w:p>
      <w:pPr>
        <w:spacing w:line="580" w:lineRule="exact"/>
        <w:ind w:firstLine="640" w:firstLineChars="200"/>
        <w:rPr>
          <w:rFonts w:ascii="仿宋_GB2312"/>
          <w:szCs w:val="32"/>
        </w:rPr>
      </w:pPr>
      <w:r>
        <w:rPr>
          <w:rFonts w:hint="eastAsia" w:ascii="仿宋_GB2312" w:hAnsi="宋体"/>
          <w:szCs w:val="32"/>
        </w:rPr>
        <w:t>重点项目：项目名称水电费，预算资金20万元，2024年度绩效目标为：</w:t>
      </w:r>
      <w:r>
        <w:rPr>
          <w:rFonts w:hint="eastAsia" w:ascii="仿宋_GB2312"/>
          <w:szCs w:val="32"/>
        </w:rPr>
        <w:t>单位能源节约工作要努力实现以下主要目标：到2024年底，实现检察机关用水、电等人均综合能耗量比2023年同比分别降低2.4%，单位建筑面积能耗与2023年同比下降2.4%，人均水耗同比下降3.2%的工作目标。</w:t>
      </w:r>
    </w:p>
    <w:p>
      <w:pPr>
        <w:tabs>
          <w:tab w:val="center" w:pos="4475"/>
        </w:tabs>
        <w:spacing w:line="560" w:lineRule="exact"/>
        <w:ind w:firstLine="645"/>
        <w:rPr>
          <w:rFonts w:ascii="仿宋_GB2312" w:hAnsi="宋体"/>
          <w:szCs w:val="32"/>
        </w:rPr>
      </w:pPr>
      <w:r>
        <w:rPr>
          <w:rFonts w:hint="eastAsia" w:ascii="仿宋_GB2312" w:hAnsi="宋体"/>
          <w:szCs w:val="32"/>
        </w:rPr>
        <w:t>设2条数量指标：</w:t>
      </w:r>
    </w:p>
    <w:p>
      <w:pPr>
        <w:tabs>
          <w:tab w:val="center" w:pos="4475"/>
        </w:tabs>
        <w:spacing w:line="560" w:lineRule="exact"/>
        <w:ind w:firstLine="645"/>
        <w:rPr>
          <w:rFonts w:ascii="仿宋_GB2312" w:hAnsi="宋体"/>
          <w:szCs w:val="32"/>
        </w:rPr>
      </w:pPr>
      <w:r>
        <w:rPr>
          <w:rFonts w:hint="eastAsia" w:ascii="仿宋_GB2312" w:hAnsi="宋体"/>
          <w:szCs w:val="32"/>
        </w:rPr>
        <w:t>数量指标1.用水控制在1万元内，</w:t>
      </w:r>
    </w:p>
    <w:p>
      <w:pPr>
        <w:tabs>
          <w:tab w:val="center" w:pos="4475"/>
        </w:tabs>
        <w:spacing w:line="560" w:lineRule="exact"/>
        <w:ind w:firstLine="645"/>
        <w:rPr>
          <w:rFonts w:ascii="仿宋_GB2312" w:hAnsi="宋体"/>
          <w:szCs w:val="32"/>
        </w:rPr>
      </w:pPr>
      <w:r>
        <w:rPr>
          <w:rFonts w:hint="eastAsia" w:ascii="仿宋_GB2312" w:hAnsi="宋体"/>
          <w:szCs w:val="32"/>
        </w:rPr>
        <w:t>数量指标2.用电控制在19万元内;</w:t>
      </w:r>
    </w:p>
    <w:p>
      <w:pPr>
        <w:tabs>
          <w:tab w:val="center" w:pos="4475"/>
        </w:tabs>
        <w:spacing w:line="560" w:lineRule="exact"/>
        <w:ind w:firstLine="645"/>
        <w:rPr>
          <w:rFonts w:ascii="仿宋_GB2312" w:hAnsi="宋体"/>
          <w:szCs w:val="32"/>
        </w:rPr>
      </w:pPr>
      <w:r>
        <w:rPr>
          <w:rFonts w:hint="eastAsia" w:ascii="仿宋_GB2312" w:hAnsi="宋体"/>
          <w:szCs w:val="32"/>
        </w:rPr>
        <w:t>设2条质量指标：</w:t>
      </w:r>
    </w:p>
    <w:p>
      <w:pPr>
        <w:tabs>
          <w:tab w:val="center" w:pos="4475"/>
        </w:tabs>
        <w:spacing w:line="560" w:lineRule="exact"/>
        <w:ind w:firstLine="645"/>
        <w:rPr>
          <w:rFonts w:ascii="仿宋_GB2312" w:hAnsi="宋体"/>
          <w:szCs w:val="32"/>
        </w:rPr>
      </w:pPr>
      <w:r>
        <w:rPr>
          <w:rFonts w:hint="eastAsia" w:ascii="仿宋_GB2312" w:hAnsi="宋体"/>
          <w:szCs w:val="32"/>
        </w:rPr>
        <w:t>质量指标1.达到年度节水目标，</w:t>
      </w:r>
    </w:p>
    <w:p>
      <w:pPr>
        <w:tabs>
          <w:tab w:val="center" w:pos="4475"/>
        </w:tabs>
        <w:spacing w:line="560" w:lineRule="exact"/>
        <w:ind w:firstLine="645"/>
        <w:rPr>
          <w:rFonts w:ascii="仿宋_GB2312" w:hAnsi="宋体"/>
          <w:szCs w:val="32"/>
        </w:rPr>
      </w:pPr>
      <w:r>
        <w:rPr>
          <w:rFonts w:hint="eastAsia" w:ascii="仿宋_GB2312" w:hAnsi="宋体"/>
          <w:szCs w:val="32"/>
        </w:rPr>
        <w:t>质量指标2. 达到年度节电目标；</w:t>
      </w:r>
    </w:p>
    <w:p>
      <w:pPr>
        <w:tabs>
          <w:tab w:val="center" w:pos="4475"/>
        </w:tabs>
        <w:spacing w:line="560" w:lineRule="exact"/>
        <w:ind w:firstLine="645"/>
        <w:rPr>
          <w:rFonts w:ascii="仿宋_GB2312" w:hAnsi="宋体"/>
          <w:szCs w:val="32"/>
        </w:rPr>
      </w:pPr>
      <w:r>
        <w:rPr>
          <w:rFonts w:hint="eastAsia" w:ascii="仿宋_GB2312" w:hAnsi="宋体"/>
          <w:szCs w:val="32"/>
        </w:rPr>
        <w:t>设2条时效指标：</w:t>
      </w:r>
    </w:p>
    <w:p>
      <w:pPr>
        <w:tabs>
          <w:tab w:val="center" w:pos="4475"/>
        </w:tabs>
        <w:spacing w:line="560" w:lineRule="exact"/>
        <w:ind w:firstLine="645"/>
        <w:rPr>
          <w:rFonts w:ascii="仿宋_GB2312" w:hAnsi="宋体"/>
          <w:szCs w:val="32"/>
        </w:rPr>
      </w:pPr>
      <w:r>
        <w:rPr>
          <w:rFonts w:hint="eastAsia" w:ascii="仿宋_GB2312" w:hAnsi="宋体"/>
          <w:szCs w:val="32"/>
        </w:rPr>
        <w:t>时效指标1.在本年度内支付水费，</w:t>
      </w:r>
    </w:p>
    <w:p>
      <w:pPr>
        <w:tabs>
          <w:tab w:val="center" w:pos="4475"/>
        </w:tabs>
        <w:spacing w:line="560" w:lineRule="exact"/>
        <w:ind w:firstLine="645"/>
        <w:rPr>
          <w:rFonts w:ascii="仿宋_GB2312" w:hAnsi="宋体"/>
          <w:szCs w:val="32"/>
        </w:rPr>
      </w:pPr>
      <w:r>
        <w:rPr>
          <w:rFonts w:hint="eastAsia" w:ascii="仿宋_GB2312" w:hAnsi="宋体"/>
          <w:szCs w:val="32"/>
        </w:rPr>
        <w:t>时效指标2.在本年度内支付电费；</w:t>
      </w:r>
    </w:p>
    <w:p>
      <w:pPr>
        <w:tabs>
          <w:tab w:val="center" w:pos="4475"/>
        </w:tabs>
        <w:spacing w:line="560" w:lineRule="exact"/>
        <w:ind w:firstLine="645"/>
        <w:rPr>
          <w:rFonts w:ascii="仿宋_GB2312" w:hAnsi="宋体"/>
          <w:szCs w:val="32"/>
        </w:rPr>
      </w:pPr>
      <w:r>
        <w:rPr>
          <w:rFonts w:hint="eastAsia" w:ascii="仿宋_GB2312" w:hAnsi="宋体"/>
          <w:szCs w:val="32"/>
        </w:rPr>
        <w:t>设2条成本指标：</w:t>
      </w:r>
    </w:p>
    <w:p>
      <w:pPr>
        <w:tabs>
          <w:tab w:val="center" w:pos="4475"/>
        </w:tabs>
        <w:spacing w:line="560" w:lineRule="exact"/>
        <w:ind w:firstLine="645"/>
        <w:rPr>
          <w:rFonts w:ascii="仿宋_GB2312" w:hAnsi="宋体"/>
          <w:szCs w:val="32"/>
        </w:rPr>
      </w:pPr>
      <w:r>
        <w:rPr>
          <w:rFonts w:hint="eastAsia" w:ascii="仿宋_GB2312" w:hAnsi="宋体"/>
          <w:szCs w:val="32"/>
        </w:rPr>
        <w:t>成本指标1. 用水控制在1万元内，</w:t>
      </w:r>
    </w:p>
    <w:p>
      <w:pPr>
        <w:tabs>
          <w:tab w:val="center" w:pos="4475"/>
        </w:tabs>
        <w:spacing w:line="560" w:lineRule="exact"/>
        <w:ind w:firstLine="645"/>
        <w:rPr>
          <w:rFonts w:ascii="仿宋_GB2312" w:hAnsi="宋体"/>
          <w:szCs w:val="32"/>
        </w:rPr>
      </w:pPr>
      <w:r>
        <w:rPr>
          <w:rFonts w:hint="eastAsia" w:ascii="仿宋_GB2312" w:hAnsi="宋体"/>
          <w:szCs w:val="32"/>
        </w:rPr>
        <w:t>成本指标2. 用电控制在19万元内;</w:t>
      </w:r>
    </w:p>
    <w:p>
      <w:pPr>
        <w:tabs>
          <w:tab w:val="center" w:pos="4475"/>
        </w:tabs>
        <w:spacing w:line="560" w:lineRule="exact"/>
        <w:ind w:firstLine="645"/>
        <w:rPr>
          <w:rFonts w:ascii="仿宋_GB2312" w:hAnsi="宋体"/>
          <w:szCs w:val="32"/>
        </w:rPr>
      </w:pPr>
      <w:r>
        <w:rPr>
          <w:rFonts w:hint="eastAsia" w:ascii="仿宋_GB2312" w:hAnsi="宋体"/>
          <w:szCs w:val="32"/>
        </w:rPr>
        <w:t>设2条经济效益指标：</w:t>
      </w:r>
    </w:p>
    <w:p>
      <w:pPr>
        <w:tabs>
          <w:tab w:val="center" w:pos="4475"/>
        </w:tabs>
        <w:spacing w:line="560" w:lineRule="exact"/>
        <w:ind w:firstLine="645"/>
        <w:rPr>
          <w:rFonts w:ascii="仿宋_GB2312" w:hAnsi="宋体"/>
          <w:szCs w:val="32"/>
        </w:rPr>
      </w:pPr>
      <w:r>
        <w:rPr>
          <w:rFonts w:hint="eastAsia" w:ascii="仿宋_GB2312" w:hAnsi="宋体"/>
          <w:szCs w:val="32"/>
        </w:rPr>
        <w:t>经济效益指标1.保障院内办公办案用水能正常供给，</w:t>
      </w:r>
    </w:p>
    <w:p>
      <w:pPr>
        <w:tabs>
          <w:tab w:val="center" w:pos="4475"/>
        </w:tabs>
        <w:spacing w:line="560" w:lineRule="exact"/>
        <w:ind w:firstLine="645"/>
        <w:rPr>
          <w:rFonts w:ascii="仿宋_GB2312" w:hAnsi="宋体"/>
          <w:szCs w:val="32"/>
        </w:rPr>
      </w:pPr>
      <w:r>
        <w:rPr>
          <w:rFonts w:hint="eastAsia" w:ascii="仿宋_GB2312" w:hAnsi="宋体"/>
          <w:szCs w:val="32"/>
        </w:rPr>
        <w:t>经济效益指标2.保障院内办公办案用电能正常供给；</w:t>
      </w:r>
    </w:p>
    <w:p>
      <w:pPr>
        <w:tabs>
          <w:tab w:val="center" w:pos="4475"/>
        </w:tabs>
        <w:spacing w:line="560" w:lineRule="exact"/>
        <w:ind w:firstLine="645"/>
        <w:rPr>
          <w:rFonts w:ascii="仿宋_GB2312" w:hAnsi="宋体"/>
          <w:szCs w:val="32"/>
        </w:rPr>
      </w:pPr>
      <w:r>
        <w:rPr>
          <w:rFonts w:hint="eastAsia" w:ascii="仿宋_GB2312" w:hAnsi="宋体"/>
          <w:szCs w:val="32"/>
        </w:rPr>
        <w:t>设2条满意度指标：</w:t>
      </w:r>
    </w:p>
    <w:p>
      <w:pPr>
        <w:tabs>
          <w:tab w:val="center" w:pos="4475"/>
        </w:tabs>
        <w:spacing w:line="560" w:lineRule="exact"/>
        <w:ind w:firstLine="645"/>
        <w:rPr>
          <w:rFonts w:ascii="仿宋_GB2312" w:hAnsi="宋体"/>
          <w:szCs w:val="32"/>
        </w:rPr>
      </w:pPr>
      <w:r>
        <w:rPr>
          <w:rFonts w:hint="eastAsia" w:ascii="仿宋_GB2312" w:hAnsi="宋体"/>
          <w:szCs w:val="32"/>
        </w:rPr>
        <w:t>满意度指标1.干警们对用水供给满意，</w:t>
      </w:r>
    </w:p>
    <w:p>
      <w:pPr>
        <w:tabs>
          <w:tab w:val="center" w:pos="4475"/>
        </w:tabs>
        <w:spacing w:line="560" w:lineRule="exact"/>
        <w:ind w:firstLine="645"/>
        <w:rPr>
          <w:rFonts w:ascii="仿宋_GB2312" w:hAnsi="宋体"/>
          <w:szCs w:val="32"/>
        </w:rPr>
      </w:pPr>
      <w:r>
        <w:rPr>
          <w:rFonts w:hint="eastAsia" w:ascii="仿宋_GB2312" w:hAnsi="宋体"/>
          <w:szCs w:val="32"/>
        </w:rPr>
        <w:t>满意度指标2.干警们对用电供给满意。</w:t>
      </w: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autoSpaceDE w:val="0"/>
        <w:autoSpaceDN w:val="0"/>
        <w:adjustRightInd w:val="0"/>
        <w:spacing w:line="586" w:lineRule="exact"/>
        <w:ind w:left="-224" w:leftChars="-70" w:firstLine="624" w:firstLineChars="195"/>
        <w:rPr>
          <w:rFonts w:ascii="仿宋" w:hAnsi="仿宋" w:eastAsia="仿宋"/>
          <w:szCs w:val="32"/>
        </w:rPr>
      </w:pPr>
      <w:r>
        <w:rPr>
          <w:rFonts w:ascii="仿宋" w:hAnsi="仿宋" w:eastAsia="仿宋"/>
          <w:szCs w:val="32"/>
        </w:rPr>
        <w:t>按支出功能分类项级科目结合本部门及所属单位工作实际进行解释说明。支出科目参照《2023年政府收支分类科目说明》。</w:t>
      </w:r>
    </w:p>
    <w:p>
      <w:pPr>
        <w:spacing w:line="360" w:lineRule="auto"/>
        <w:ind w:firstLine="160" w:firstLineChars="50"/>
        <w:rPr>
          <w:rFonts w:ascii="仿宋" w:hAnsi="仿宋" w:eastAsia="仿宋" w:cs="仿宋"/>
          <w:szCs w:val="32"/>
        </w:rPr>
      </w:pPr>
      <w:r>
        <w:rPr>
          <w:rFonts w:hint="eastAsia" w:ascii="仿宋" w:hAnsi="仿宋" w:eastAsia="仿宋" w:cs="仿宋"/>
          <w:szCs w:val="32"/>
        </w:rPr>
        <w:t xml:space="preserve">一、财政拨款收入：指县级财政部门当年拨付的资金。 </w:t>
      </w:r>
    </w:p>
    <w:p>
      <w:pPr>
        <w:spacing w:line="360" w:lineRule="auto"/>
        <w:ind w:firstLine="160" w:firstLineChars="50"/>
        <w:rPr>
          <w:rFonts w:ascii="仿宋" w:hAnsi="仿宋" w:eastAsia="仿宋" w:cs="仿宋"/>
          <w:szCs w:val="32"/>
        </w:rPr>
      </w:pPr>
      <w:r>
        <w:rPr>
          <w:rFonts w:hint="eastAsia" w:ascii="仿宋" w:hAnsi="仿宋" w:eastAsia="仿宋" w:cs="仿宋"/>
          <w:szCs w:val="32"/>
        </w:rPr>
        <w:t>二、事业收入：指事业单位开展专业业务活动及辅助活动所取得的收入。</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三、经营收入：指事业单位在专业业务活动及其辅助活动之外开展非独立核算经营活动取得的收入。</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四、其他收入：指除上述“财政拨款收入”、“事业收入”、“经营收入”等以外的收入。</w:t>
      </w:r>
    </w:p>
    <w:p>
      <w:pPr>
        <w:spacing w:line="360" w:lineRule="auto"/>
        <w:ind w:left="-544" w:leftChars="-170" w:firstLine="800" w:firstLineChars="250"/>
        <w:rPr>
          <w:rFonts w:ascii="仿宋" w:hAnsi="仿宋" w:eastAsia="仿宋" w:cs="仿宋"/>
          <w:szCs w:val="32"/>
        </w:rPr>
      </w:pPr>
      <w:r>
        <w:rPr>
          <w:rFonts w:hint="eastAsia" w:ascii="仿宋" w:hAnsi="仿宋" w:eastAsia="仿宋" w:cs="仿宋"/>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 xml:space="preserve">六、年初结转和结余：指以前年度尚未完成、结转到本年 按有关规定继续使用的资金。 </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 xml:space="preserve">七、结余分配：指事业单位按规定提取的职工福利基金、事业基金和缴纳的所得税，以及建设单位按规定应交回的基本建设竣工项目结余资金。 </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 xml:space="preserve">八、年末结转和结余：指本年度或以前年度预算安排、因客观条件发生变化无法按原计划实施，需要延迟到以后年度按有关规定继续使用的资金。 </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 xml:space="preserve">九、基本支出：指为保障机构正常运转、完成日常工作任务而发生的人员支出和公用支出。 </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 xml:space="preserve">十、项目支出：指在基本支出之外为完成特定行政任务和事业发展目标所发生的支出。 </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十一、经营支出：指事业单位在专业业务活动及其辅助活动之外开展非独立核算经营活动发生的支出。</w:t>
      </w:r>
    </w:p>
    <w:p>
      <w:pPr>
        <w:spacing w:line="360" w:lineRule="auto"/>
        <w:ind w:left="-547" w:leftChars="-171" w:firstLine="640" w:firstLineChars="200"/>
        <w:rPr>
          <w:rFonts w:ascii="仿宋" w:hAnsi="仿宋" w:eastAsia="仿宋" w:cs="仿宋"/>
          <w:szCs w:val="32"/>
        </w:rPr>
      </w:pPr>
      <w:r>
        <w:rPr>
          <w:rFonts w:hint="eastAsia" w:ascii="仿宋" w:hAnsi="仿宋" w:eastAsia="仿宋" w:cs="仿宋"/>
          <w:szCs w:val="32"/>
        </w:rPr>
        <w:t xml:space="preserve">十二、“三公”经费：纳入县级财政预决算管理的“三公”经费，是指县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tabs>
          <w:tab w:val="center" w:pos="4475"/>
        </w:tabs>
        <w:snapToGrid w:val="0"/>
        <w:spacing w:line="600" w:lineRule="exact"/>
        <w:ind w:firstLine="640" w:firstLineChars="200"/>
        <w:rPr>
          <w:rFonts w:ascii="仿宋_GB2312"/>
        </w:rPr>
      </w:pPr>
      <w:r>
        <w:rPr>
          <w:rFonts w:hint="eastAsia" w:ascii="仿宋" w:hAnsi="仿宋" w:eastAsia="仿宋" w:cs="仿宋"/>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第四部分：</w:t>
      </w:r>
      <w:r>
        <w:rPr>
          <w:rFonts w:hint="eastAsia" w:ascii="黑体" w:hAnsi="黑体" w:eastAsia="黑体"/>
          <w:szCs w:val="32"/>
        </w:rPr>
        <w:t>兴安县人民检察院</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86" w:lineRule="exact"/>
        <w:ind w:firstLine="470" w:firstLineChars="147"/>
        <w:rPr>
          <w:szCs w:val="32"/>
        </w:rPr>
      </w:pPr>
      <w:r>
        <w:rPr>
          <w:szCs w:val="32"/>
        </w:rPr>
        <w:t>一、部门收支总体情况表（表1）</w:t>
      </w:r>
    </w:p>
    <w:p>
      <w:pPr>
        <w:adjustRightInd w:val="0"/>
        <w:snapToGrid w:val="0"/>
        <w:spacing w:line="586" w:lineRule="exact"/>
        <w:ind w:firstLine="470" w:firstLineChars="147"/>
        <w:rPr>
          <w:szCs w:val="32"/>
        </w:rPr>
      </w:pPr>
      <w:r>
        <w:rPr>
          <w:szCs w:val="32"/>
        </w:rPr>
        <w:t>二、部门收入总体情况表（表2）</w:t>
      </w:r>
    </w:p>
    <w:p>
      <w:pPr>
        <w:adjustRightInd w:val="0"/>
        <w:snapToGrid w:val="0"/>
        <w:spacing w:line="586" w:lineRule="exact"/>
        <w:ind w:firstLine="470" w:firstLineChars="147"/>
        <w:rPr>
          <w:szCs w:val="32"/>
        </w:rPr>
      </w:pPr>
      <w:r>
        <w:rPr>
          <w:szCs w:val="32"/>
        </w:rPr>
        <w:t>三、部门支出总体情况表（表3）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十一、部门预算支出经济分类表（表11）</w:t>
      </w:r>
    </w:p>
    <w:p>
      <w:pPr>
        <w:adjustRightInd w:val="0"/>
        <w:snapToGrid w:val="0"/>
        <w:spacing w:line="586" w:lineRule="exact"/>
        <w:ind w:firstLine="470" w:firstLineChars="147"/>
        <w:rPr>
          <w:szCs w:val="32"/>
        </w:rPr>
      </w:pPr>
      <w:r>
        <w:rPr>
          <w:szCs w:val="32"/>
        </w:rPr>
        <w:t>十二、政府预算支出经济分类表（表12）</w:t>
      </w:r>
    </w:p>
    <w:p>
      <w:pPr>
        <w:adjustRightInd w:val="0"/>
        <w:snapToGrid w:val="0"/>
        <w:spacing w:line="586" w:lineRule="exact"/>
        <w:ind w:firstLine="470" w:firstLineChars="147"/>
        <w:rPr>
          <w:szCs w:val="32"/>
        </w:rPr>
      </w:pPr>
      <w:r>
        <w:rPr>
          <w:rFonts w:hint="eastAsia"/>
          <w:szCs w:val="32"/>
        </w:rPr>
        <w:t>十三、项目支出绩效目标申报表</w:t>
      </w:r>
      <w:r>
        <w:rPr>
          <w:szCs w:val="32"/>
        </w:rPr>
        <w:t>（表1</w:t>
      </w:r>
      <w:r>
        <w:rPr>
          <w:rFonts w:hint="eastAsia"/>
          <w:szCs w:val="32"/>
        </w:rPr>
        <w:t>3）</w:t>
      </w:r>
    </w:p>
    <w:p>
      <w:pPr>
        <w:spacing w:line="586" w:lineRule="exact"/>
        <w:ind w:firstLine="470" w:firstLineChars="147"/>
        <w:rPr>
          <w:rFonts w:eastAsia="黑体"/>
          <w:szCs w:val="32"/>
        </w:rPr>
      </w:pPr>
      <w:r>
        <w:rPr>
          <w:rFonts w:hAnsi="黑体" w:eastAsia="黑体"/>
          <w:szCs w:val="32"/>
        </w:rPr>
        <w:t>上述报表详见附件。</w:t>
      </w:r>
    </w:p>
    <w:p>
      <w:pPr>
        <w:autoSpaceDE w:val="0"/>
        <w:autoSpaceDN w:val="0"/>
        <w:adjustRightInd w:val="0"/>
        <w:spacing w:line="586" w:lineRule="exact"/>
        <w:ind w:left="-224" w:leftChars="-70" w:firstLine="626" w:firstLineChars="195"/>
        <w:rPr>
          <w:b/>
          <w:szCs w:val="32"/>
        </w:rPr>
      </w:pPr>
      <w:r>
        <w:rPr>
          <w:rFonts w:hint="eastAsia"/>
          <w:b/>
          <w:szCs w:val="32"/>
        </w:rPr>
        <w:t>附件.</w:t>
      </w:r>
      <w:r>
        <w:rPr>
          <w:rFonts w:hint="eastAsia" w:ascii="黑体" w:hAnsi="宋体" w:eastAsia="黑体"/>
          <w:szCs w:val="32"/>
        </w:rPr>
        <w:t xml:space="preserve"> </w:t>
      </w:r>
      <w:r>
        <w:rPr>
          <w:rFonts w:hint="eastAsia"/>
          <w:b/>
          <w:szCs w:val="32"/>
        </w:rPr>
        <w:t>兴安县人民检察院部门预算报表（财政审核）（桂林市本级预算公开表）</w:t>
      </w:r>
      <w:r>
        <w:rPr>
          <w:b/>
          <w:szCs w:val="32"/>
        </w:rPr>
        <w:t>.xls</w:t>
      </w:r>
    </w:p>
    <w:p>
      <w:pPr>
        <w:tabs>
          <w:tab w:val="center" w:pos="4475"/>
        </w:tabs>
        <w:spacing w:line="560" w:lineRule="exact"/>
        <w:ind w:firstLine="645"/>
        <w:rPr>
          <w:rFonts w:ascii="仿宋_GB2312" w:hAnsi="宋体"/>
          <w:szCs w:val="32"/>
          <w:u w:val="single"/>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17" w:bottom="1984" w:left="1587" w:header="851" w:footer="992" w:gutter="0"/>
      <w:pgNumType w:start="1"/>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670074"/>
      <w:docPartObj>
        <w:docPartGallery w:val="AutoText"/>
      </w:docPartObj>
    </w:sdtPr>
    <w:sdtContent>
      <w:p>
        <w:pPr>
          <w:pStyle w:val="2"/>
        </w:pPr>
        <w:r>
          <w:fldChar w:fldCharType="begin"/>
        </w:r>
        <w:r>
          <w:instrText xml:space="preserve">PAGE   \* MERGEFORMAT</w:instrText>
        </w:r>
        <w:r>
          <w:fldChar w:fldCharType="separate"/>
        </w:r>
        <w:r>
          <w:rPr>
            <w:lang w:val="zh-CN"/>
          </w:rPr>
          <w:t>23</w:t>
        </w:r>
        <w:r>
          <w:fldChar w:fldCharType="end"/>
        </w:r>
      </w:p>
    </w:sdtContent>
  </w:sdt>
  <w:p>
    <w:pPr>
      <w:pStyle w:val="2"/>
      <w:tabs>
        <w:tab w:val="left" w:pos="495"/>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5OGQ1MDk3NjM3ZDE3NDMwNjBmZDFkODFlNDg3MDUifQ=="/>
  </w:docVars>
  <w:rsids>
    <w:rsidRoot w:val="000E2B2E"/>
    <w:rsid w:val="00000270"/>
    <w:rsid w:val="00004238"/>
    <w:rsid w:val="0006015A"/>
    <w:rsid w:val="0006609D"/>
    <w:rsid w:val="00082987"/>
    <w:rsid w:val="00087E4B"/>
    <w:rsid w:val="000969DE"/>
    <w:rsid w:val="000A27CB"/>
    <w:rsid w:val="000A4F92"/>
    <w:rsid w:val="000B143E"/>
    <w:rsid w:val="000B48D8"/>
    <w:rsid w:val="000C3524"/>
    <w:rsid w:val="000C605E"/>
    <w:rsid w:val="000C60AF"/>
    <w:rsid w:val="000C719B"/>
    <w:rsid w:val="000D512B"/>
    <w:rsid w:val="000E2B2E"/>
    <w:rsid w:val="000F1845"/>
    <w:rsid w:val="000F4AFC"/>
    <w:rsid w:val="000F7ECD"/>
    <w:rsid w:val="00102111"/>
    <w:rsid w:val="00102F95"/>
    <w:rsid w:val="00103943"/>
    <w:rsid w:val="001378AF"/>
    <w:rsid w:val="001409D1"/>
    <w:rsid w:val="00146225"/>
    <w:rsid w:val="001535E9"/>
    <w:rsid w:val="00161495"/>
    <w:rsid w:val="00162DDB"/>
    <w:rsid w:val="00165FFE"/>
    <w:rsid w:val="001A0C5C"/>
    <w:rsid w:val="001B4C72"/>
    <w:rsid w:val="001B59F3"/>
    <w:rsid w:val="001C3293"/>
    <w:rsid w:val="001C7CF1"/>
    <w:rsid w:val="001D5F38"/>
    <w:rsid w:val="001F66D5"/>
    <w:rsid w:val="00203C9D"/>
    <w:rsid w:val="00216E92"/>
    <w:rsid w:val="002260CC"/>
    <w:rsid w:val="00226E26"/>
    <w:rsid w:val="002571ED"/>
    <w:rsid w:val="002616C4"/>
    <w:rsid w:val="00271470"/>
    <w:rsid w:val="00274C24"/>
    <w:rsid w:val="0029086E"/>
    <w:rsid w:val="002B71D2"/>
    <w:rsid w:val="002C3268"/>
    <w:rsid w:val="002C3E13"/>
    <w:rsid w:val="002D7634"/>
    <w:rsid w:val="002F4181"/>
    <w:rsid w:val="00305D09"/>
    <w:rsid w:val="00311C79"/>
    <w:rsid w:val="0033050C"/>
    <w:rsid w:val="00350160"/>
    <w:rsid w:val="0035299C"/>
    <w:rsid w:val="00354950"/>
    <w:rsid w:val="0035644C"/>
    <w:rsid w:val="00370853"/>
    <w:rsid w:val="0038348A"/>
    <w:rsid w:val="00394801"/>
    <w:rsid w:val="003A6C71"/>
    <w:rsid w:val="003B12C8"/>
    <w:rsid w:val="003B1E3C"/>
    <w:rsid w:val="003B2686"/>
    <w:rsid w:val="003B59AD"/>
    <w:rsid w:val="003B5A65"/>
    <w:rsid w:val="003C69D5"/>
    <w:rsid w:val="003E18E2"/>
    <w:rsid w:val="003E4539"/>
    <w:rsid w:val="00413289"/>
    <w:rsid w:val="00417A44"/>
    <w:rsid w:val="00487877"/>
    <w:rsid w:val="00492C63"/>
    <w:rsid w:val="00496ADD"/>
    <w:rsid w:val="004A52A4"/>
    <w:rsid w:val="004B24FB"/>
    <w:rsid w:val="004C201E"/>
    <w:rsid w:val="004C7EC7"/>
    <w:rsid w:val="004D2C2F"/>
    <w:rsid w:val="004D3641"/>
    <w:rsid w:val="004D5A3E"/>
    <w:rsid w:val="004D7887"/>
    <w:rsid w:val="004F57D8"/>
    <w:rsid w:val="00507670"/>
    <w:rsid w:val="00511F98"/>
    <w:rsid w:val="00520E9A"/>
    <w:rsid w:val="00535447"/>
    <w:rsid w:val="005361ED"/>
    <w:rsid w:val="00537775"/>
    <w:rsid w:val="00540D39"/>
    <w:rsid w:val="005751A5"/>
    <w:rsid w:val="00587E19"/>
    <w:rsid w:val="005902BF"/>
    <w:rsid w:val="00593EB3"/>
    <w:rsid w:val="00597AD1"/>
    <w:rsid w:val="005A1610"/>
    <w:rsid w:val="005A4856"/>
    <w:rsid w:val="005C7D8C"/>
    <w:rsid w:val="005F05CF"/>
    <w:rsid w:val="005F5C98"/>
    <w:rsid w:val="006061B7"/>
    <w:rsid w:val="00611D58"/>
    <w:rsid w:val="0061640D"/>
    <w:rsid w:val="00621B76"/>
    <w:rsid w:val="0062485C"/>
    <w:rsid w:val="00624E21"/>
    <w:rsid w:val="0062691A"/>
    <w:rsid w:val="00633405"/>
    <w:rsid w:val="00635209"/>
    <w:rsid w:val="00656D84"/>
    <w:rsid w:val="00657D0E"/>
    <w:rsid w:val="00667D94"/>
    <w:rsid w:val="006735A9"/>
    <w:rsid w:val="006B0DC3"/>
    <w:rsid w:val="006B15BA"/>
    <w:rsid w:val="006B3BA0"/>
    <w:rsid w:val="006B7128"/>
    <w:rsid w:val="006C211D"/>
    <w:rsid w:val="006C37FE"/>
    <w:rsid w:val="006D65EE"/>
    <w:rsid w:val="006D7786"/>
    <w:rsid w:val="006E593C"/>
    <w:rsid w:val="006E6FEE"/>
    <w:rsid w:val="006F05A1"/>
    <w:rsid w:val="007027B2"/>
    <w:rsid w:val="007035D5"/>
    <w:rsid w:val="007141A0"/>
    <w:rsid w:val="00730A37"/>
    <w:rsid w:val="00732440"/>
    <w:rsid w:val="00743E06"/>
    <w:rsid w:val="00756497"/>
    <w:rsid w:val="007622CC"/>
    <w:rsid w:val="007657B9"/>
    <w:rsid w:val="00770EE0"/>
    <w:rsid w:val="007742B1"/>
    <w:rsid w:val="0077650B"/>
    <w:rsid w:val="00786021"/>
    <w:rsid w:val="00793389"/>
    <w:rsid w:val="007937FD"/>
    <w:rsid w:val="007B28B8"/>
    <w:rsid w:val="007C4397"/>
    <w:rsid w:val="007D13A9"/>
    <w:rsid w:val="007E0B9C"/>
    <w:rsid w:val="007F0BBA"/>
    <w:rsid w:val="007F10C0"/>
    <w:rsid w:val="007F3273"/>
    <w:rsid w:val="007F6297"/>
    <w:rsid w:val="008018EA"/>
    <w:rsid w:val="0081014D"/>
    <w:rsid w:val="008114B4"/>
    <w:rsid w:val="00835415"/>
    <w:rsid w:val="00856F32"/>
    <w:rsid w:val="008574FE"/>
    <w:rsid w:val="0086577D"/>
    <w:rsid w:val="00865FFA"/>
    <w:rsid w:val="0087734B"/>
    <w:rsid w:val="00877390"/>
    <w:rsid w:val="00884219"/>
    <w:rsid w:val="0089198B"/>
    <w:rsid w:val="00897C47"/>
    <w:rsid w:val="008A2C31"/>
    <w:rsid w:val="008C0C5C"/>
    <w:rsid w:val="008E1747"/>
    <w:rsid w:val="008F4943"/>
    <w:rsid w:val="009012D5"/>
    <w:rsid w:val="00901DCB"/>
    <w:rsid w:val="009063FB"/>
    <w:rsid w:val="00907B22"/>
    <w:rsid w:val="00907D8A"/>
    <w:rsid w:val="009104EF"/>
    <w:rsid w:val="0092649A"/>
    <w:rsid w:val="00944F2F"/>
    <w:rsid w:val="0095006D"/>
    <w:rsid w:val="00957458"/>
    <w:rsid w:val="0096448A"/>
    <w:rsid w:val="0096785E"/>
    <w:rsid w:val="00967E5A"/>
    <w:rsid w:val="00971AE4"/>
    <w:rsid w:val="00972A0D"/>
    <w:rsid w:val="00974CD0"/>
    <w:rsid w:val="0097636E"/>
    <w:rsid w:val="00984878"/>
    <w:rsid w:val="00985C31"/>
    <w:rsid w:val="00991722"/>
    <w:rsid w:val="009A1E89"/>
    <w:rsid w:val="009A20AF"/>
    <w:rsid w:val="009C1768"/>
    <w:rsid w:val="009D14B1"/>
    <w:rsid w:val="009D29CA"/>
    <w:rsid w:val="009D49DD"/>
    <w:rsid w:val="009D4AFF"/>
    <w:rsid w:val="009E1B9E"/>
    <w:rsid w:val="009E782F"/>
    <w:rsid w:val="00A0696F"/>
    <w:rsid w:val="00A3613A"/>
    <w:rsid w:val="00A3783B"/>
    <w:rsid w:val="00A53770"/>
    <w:rsid w:val="00A65214"/>
    <w:rsid w:val="00A66E59"/>
    <w:rsid w:val="00A7091F"/>
    <w:rsid w:val="00A85033"/>
    <w:rsid w:val="00A92746"/>
    <w:rsid w:val="00A94D5F"/>
    <w:rsid w:val="00AA0D8E"/>
    <w:rsid w:val="00AB1D4D"/>
    <w:rsid w:val="00AB428A"/>
    <w:rsid w:val="00AB69D8"/>
    <w:rsid w:val="00AC09A3"/>
    <w:rsid w:val="00AC672B"/>
    <w:rsid w:val="00AD0EEB"/>
    <w:rsid w:val="00AD1C01"/>
    <w:rsid w:val="00AE5B16"/>
    <w:rsid w:val="00AE5B4F"/>
    <w:rsid w:val="00AE64F9"/>
    <w:rsid w:val="00AF448C"/>
    <w:rsid w:val="00AF7CD4"/>
    <w:rsid w:val="00B007F7"/>
    <w:rsid w:val="00B04ED4"/>
    <w:rsid w:val="00B051E3"/>
    <w:rsid w:val="00B06999"/>
    <w:rsid w:val="00B07FE4"/>
    <w:rsid w:val="00B24AF8"/>
    <w:rsid w:val="00B46DDF"/>
    <w:rsid w:val="00B47475"/>
    <w:rsid w:val="00B50869"/>
    <w:rsid w:val="00B671E3"/>
    <w:rsid w:val="00B74C31"/>
    <w:rsid w:val="00B811F4"/>
    <w:rsid w:val="00B943E7"/>
    <w:rsid w:val="00BA6015"/>
    <w:rsid w:val="00BA63BE"/>
    <w:rsid w:val="00BB3CEB"/>
    <w:rsid w:val="00BB582B"/>
    <w:rsid w:val="00BB738E"/>
    <w:rsid w:val="00BC0D75"/>
    <w:rsid w:val="00BC1E38"/>
    <w:rsid w:val="00BC292F"/>
    <w:rsid w:val="00BC6AB1"/>
    <w:rsid w:val="00BD585E"/>
    <w:rsid w:val="00BE790D"/>
    <w:rsid w:val="00BE7BC0"/>
    <w:rsid w:val="00BF62B5"/>
    <w:rsid w:val="00C122F1"/>
    <w:rsid w:val="00C16772"/>
    <w:rsid w:val="00C20C21"/>
    <w:rsid w:val="00C3348C"/>
    <w:rsid w:val="00C42C76"/>
    <w:rsid w:val="00C51A8A"/>
    <w:rsid w:val="00C60706"/>
    <w:rsid w:val="00C6474F"/>
    <w:rsid w:val="00C710A2"/>
    <w:rsid w:val="00C716CB"/>
    <w:rsid w:val="00C85AC0"/>
    <w:rsid w:val="00C94ACA"/>
    <w:rsid w:val="00C951E8"/>
    <w:rsid w:val="00CA277C"/>
    <w:rsid w:val="00CA7487"/>
    <w:rsid w:val="00CA77E1"/>
    <w:rsid w:val="00CC4590"/>
    <w:rsid w:val="00CD213A"/>
    <w:rsid w:val="00CD21AA"/>
    <w:rsid w:val="00CF1719"/>
    <w:rsid w:val="00D015A2"/>
    <w:rsid w:val="00D042DD"/>
    <w:rsid w:val="00D05F2D"/>
    <w:rsid w:val="00D22112"/>
    <w:rsid w:val="00D36B3B"/>
    <w:rsid w:val="00D43043"/>
    <w:rsid w:val="00D43841"/>
    <w:rsid w:val="00D679FC"/>
    <w:rsid w:val="00DB2919"/>
    <w:rsid w:val="00DC28FC"/>
    <w:rsid w:val="00DD0CD0"/>
    <w:rsid w:val="00DF0E61"/>
    <w:rsid w:val="00E05F01"/>
    <w:rsid w:val="00E2205E"/>
    <w:rsid w:val="00E24F65"/>
    <w:rsid w:val="00E44C07"/>
    <w:rsid w:val="00E460D5"/>
    <w:rsid w:val="00E475C3"/>
    <w:rsid w:val="00E62B9C"/>
    <w:rsid w:val="00E659A1"/>
    <w:rsid w:val="00E72012"/>
    <w:rsid w:val="00E74583"/>
    <w:rsid w:val="00E8017E"/>
    <w:rsid w:val="00E80A39"/>
    <w:rsid w:val="00E9020D"/>
    <w:rsid w:val="00EA77BE"/>
    <w:rsid w:val="00EC2362"/>
    <w:rsid w:val="00EC2741"/>
    <w:rsid w:val="00EE072B"/>
    <w:rsid w:val="00EE6DA1"/>
    <w:rsid w:val="00F15585"/>
    <w:rsid w:val="00F1708D"/>
    <w:rsid w:val="00F17CA7"/>
    <w:rsid w:val="00F204CB"/>
    <w:rsid w:val="00F21BD4"/>
    <w:rsid w:val="00F27296"/>
    <w:rsid w:val="00F275B2"/>
    <w:rsid w:val="00F33E6D"/>
    <w:rsid w:val="00F40750"/>
    <w:rsid w:val="00F53BC8"/>
    <w:rsid w:val="00F53EFB"/>
    <w:rsid w:val="00F57A97"/>
    <w:rsid w:val="00F61CA1"/>
    <w:rsid w:val="00F82179"/>
    <w:rsid w:val="00F96BEB"/>
    <w:rsid w:val="00FA0E5C"/>
    <w:rsid w:val="00FA7BF5"/>
    <w:rsid w:val="00FC1922"/>
    <w:rsid w:val="7D9A4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rPr>
      <w:rFonts w:ascii="Times New Roman" w:hAnsi="Times New Roman" w:eastAsia="宋体" w:cs="Times New Roman"/>
    </w:rPr>
  </w:style>
  <w:style w:type="character" w:customStyle="1" w:styleId="7">
    <w:name w:val="页眉 Char"/>
    <w:basedOn w:val="5"/>
    <w:link w:val="3"/>
    <w:autoRedefine/>
    <w:uiPriority w:val="99"/>
    <w:rPr>
      <w:sz w:val="18"/>
      <w:szCs w:val="18"/>
    </w:rPr>
  </w:style>
  <w:style w:type="character" w:customStyle="1" w:styleId="8">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62C70-E054-4023-97CD-B098D1971B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1191</Words>
  <Characters>6793</Characters>
  <Lines>56</Lines>
  <Paragraphs>15</Paragraphs>
  <TotalTime>2523</TotalTime>
  <ScaleCrop>false</ScaleCrop>
  <LinksUpToDate>false</LinksUpToDate>
  <CharactersWithSpaces>7969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陈</cp:lastModifiedBy>
  <dcterms:modified xsi:type="dcterms:W3CDTF">2024-04-17T08:06:01Z</dcterms:modified>
  <cp:revision>580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2BBEF7C6B51745C093D5620FD3932DC0_12</vt:lpwstr>
  </property>
</Properties>
</file>