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简体" w:eastAsia="方正小标宋简体"/>
          <w:sz w:val="44"/>
          <w:szCs w:val="44"/>
        </w:rPr>
      </w:pPr>
      <w:r>
        <w:rPr>
          <w:rFonts w:hint="eastAsia" w:ascii="方正小标宋_GBK" w:hAnsi="仿宋" w:eastAsia="方正小标宋_GBK"/>
          <w:sz w:val="44"/>
          <w:szCs w:val="44"/>
          <w:lang w:eastAsia="zh-CN"/>
        </w:rPr>
        <w:t>灌阳县人民检察院</w:t>
      </w:r>
      <w:r>
        <w:rPr>
          <w:rFonts w:hint="eastAsia" w:ascii="方正小标宋简体" w:eastAsia="方正小标宋简体"/>
          <w:sz w:val="44"/>
          <w:szCs w:val="44"/>
        </w:rPr>
        <w:t>2024年部门预算</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（一）依法向县人民代表及其常务委员会提出议案；</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（二）对于叛国案件、分裂国家案以及严重破坏国家法律、政令统一实施的重大犯罪案件，行使检察权。</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（三）对于直接受理的国家工作人员利用职权实施的犯罪案件，进行侦查。</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（四）对于公安机关、国家安全机关等侦查机关侦查的案件进行审查，决定是否逮捕、起诉或者不起诉。并对侦查机关的侦查活动是否合法实行监督。</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（五）对于刑事案件提起公诉，支持公诉；对于法院的刑事判决、裁定是否都正确和审判活动是否合法实行监督。</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（六）对于监狱、看守所等执行刑罚的活动是否合法实行监督。</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（七）对于法院的民事审判活动实行法律监督，对法院已经发生效力的判决、裁定，发现违反法律、法规的，依法提出公诉。</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（八）对于行政诉讼实行法律监督。对法院已经发生效力的判决、裁定发现违反法律、法规规定的，依法提出抗诉。</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(九)组织开展检察理论研究工作。</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(十)负责灌阳县人民检察院的队伍建设和思想政治工作。依法管理全院检察官及其他检察人员，制定相关人员管理办法组织开展检察教育培训工作。</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(十一)负责实施检察机关财务装备、检察技术信息工作规划。</w:t>
      </w:r>
    </w:p>
    <w:p>
      <w:pPr>
        <w:spacing w:line="560" w:lineRule="exact"/>
        <w:ind w:firstLine="640" w:firstLineChars="200"/>
        <w:rPr>
          <w:rFonts w:ascii="黑体" w:hAnsi="宋体" w:eastAsia="黑体"/>
          <w:szCs w:val="32"/>
        </w:rPr>
      </w:pPr>
      <w:r>
        <w:rPr>
          <w:rFonts w:hint="eastAsia" w:ascii="仿宋_GB2312" w:eastAsia="仿宋_GB2312"/>
          <w:sz w:val="32"/>
          <w:szCs w:val="32"/>
          <w:lang w:eastAsia="zh-CN"/>
        </w:rPr>
        <w:t>（十二）负责其他应当由灌阳县人民检察院承办的事项。</w:t>
      </w:r>
      <w:r>
        <w:rPr>
          <w:rFonts w:hint="eastAsia" w:ascii="仿宋_GB2312"/>
          <w:sz w:val="32"/>
          <w:szCs w:val="32"/>
          <w:lang w:val="en-US" w:eastAsia="zh-CN"/>
        </w:rPr>
        <w:t xml:space="preserve">  </w:t>
      </w:r>
      <w:r>
        <w:rPr>
          <w:rFonts w:hint="eastAsia" w:ascii="黑体" w:hAnsi="宋体" w:eastAsia="黑体"/>
          <w:szCs w:val="32"/>
        </w:rPr>
        <w:t>二、机构设置情况</w:t>
      </w:r>
    </w:p>
    <w:p>
      <w:pPr>
        <w:keepNext w:val="0"/>
        <w:keepLines w:val="0"/>
        <w:pageBreakBefore w:val="0"/>
        <w:widowControl w:val="0"/>
        <w:kinsoku/>
        <w:wordWrap/>
        <w:overflowPunct/>
        <w:topLinePunct w:val="0"/>
        <w:autoSpaceDE/>
        <w:autoSpaceDN/>
        <w:bidi w:val="0"/>
        <w:spacing w:line="560" w:lineRule="exact"/>
        <w:ind w:firstLine="614" w:firstLineChars="192"/>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灌阳县人民检察院属于国家行政机关，内设办公室、第一检察部、第二检察部、第三检察部、政治部等</w:t>
      </w:r>
      <w:r>
        <w:rPr>
          <w:rFonts w:hint="eastAsia" w:ascii="仿宋_GB2312" w:eastAsia="仿宋_GB2312"/>
          <w:sz w:val="32"/>
          <w:szCs w:val="32"/>
          <w:lang w:val="en-US" w:eastAsia="zh-CN"/>
        </w:rPr>
        <w:t>5个职能部门和院党支部。</w:t>
      </w:r>
    </w:p>
    <w:p>
      <w:pPr>
        <w:spacing w:line="586" w:lineRule="exact"/>
        <w:ind w:firstLine="627" w:firstLineChars="196"/>
        <w:rPr>
          <w:rFonts w:hint="eastAsia" w:ascii="仿宋_GB2312" w:eastAsia="仿宋_GB2312"/>
          <w:sz w:val="32"/>
          <w:szCs w:val="32"/>
        </w:rPr>
      </w:pPr>
      <w:r>
        <w:rPr>
          <w:rFonts w:hint="eastAsia" w:ascii="仿宋_GB2312" w:eastAsia="仿宋_GB2312"/>
          <w:sz w:val="32"/>
          <w:szCs w:val="32"/>
        </w:rPr>
        <w:t>我院编制人数合计</w:t>
      </w:r>
      <w:r>
        <w:rPr>
          <w:rFonts w:ascii="仿宋_GB2312" w:eastAsia="仿宋_GB2312"/>
          <w:sz w:val="32"/>
          <w:szCs w:val="32"/>
        </w:rPr>
        <w:t>34</w:t>
      </w:r>
      <w:r>
        <w:rPr>
          <w:rFonts w:hint="eastAsia" w:ascii="仿宋_GB2312" w:eastAsia="仿宋_GB2312"/>
          <w:sz w:val="32"/>
          <w:szCs w:val="32"/>
        </w:rPr>
        <w:t>人，行政编制</w:t>
      </w:r>
      <w:r>
        <w:rPr>
          <w:rFonts w:ascii="仿宋_GB2312" w:eastAsia="仿宋_GB2312"/>
          <w:sz w:val="32"/>
          <w:szCs w:val="32"/>
        </w:rPr>
        <w:t>32</w:t>
      </w:r>
      <w:r>
        <w:rPr>
          <w:rFonts w:hint="eastAsia" w:ascii="仿宋_GB2312" w:eastAsia="仿宋_GB2312"/>
          <w:sz w:val="32"/>
          <w:szCs w:val="32"/>
        </w:rPr>
        <w:t>人，工勤编制</w:t>
      </w:r>
      <w:r>
        <w:rPr>
          <w:rFonts w:ascii="仿宋_GB2312" w:eastAsia="仿宋_GB2312"/>
          <w:sz w:val="32"/>
          <w:szCs w:val="32"/>
        </w:rPr>
        <w:t>2</w:t>
      </w:r>
      <w:r>
        <w:rPr>
          <w:rFonts w:hint="eastAsia" w:ascii="仿宋_GB2312" w:eastAsia="仿宋_GB2312"/>
          <w:sz w:val="32"/>
          <w:szCs w:val="32"/>
        </w:rPr>
        <w:t>人，实有在职人数共计</w:t>
      </w:r>
      <w:r>
        <w:rPr>
          <w:rFonts w:hint="eastAsia" w:ascii="仿宋_GB2312"/>
          <w:sz w:val="32"/>
          <w:szCs w:val="32"/>
          <w:lang w:val="en-US" w:eastAsia="zh-CN"/>
        </w:rPr>
        <w:t>31</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其中在职行政编制人数</w:t>
      </w:r>
      <w:r>
        <w:rPr>
          <w:rFonts w:hint="eastAsia" w:ascii="仿宋_GB2312" w:eastAsia="仿宋_GB2312"/>
          <w:sz w:val="32"/>
          <w:szCs w:val="32"/>
          <w:lang w:val="en-US" w:eastAsia="zh-CN"/>
        </w:rPr>
        <w:t>2</w:t>
      </w:r>
      <w:r>
        <w:rPr>
          <w:rFonts w:hint="eastAsia" w:ascii="仿宋_GB2312"/>
          <w:sz w:val="32"/>
          <w:szCs w:val="32"/>
          <w:lang w:val="en-US" w:eastAsia="zh-CN"/>
        </w:rPr>
        <w:t>9</w:t>
      </w:r>
      <w:r>
        <w:rPr>
          <w:rFonts w:hint="eastAsia" w:ascii="仿宋_GB2312" w:eastAsia="仿宋_GB2312"/>
          <w:sz w:val="32"/>
          <w:szCs w:val="32"/>
        </w:rPr>
        <w:t>人（不含派驻纪检组组长），工勤编制在职人员</w:t>
      </w:r>
      <w:r>
        <w:rPr>
          <w:rFonts w:hint="eastAsia" w:ascii="仿宋_GB2312"/>
          <w:sz w:val="32"/>
          <w:szCs w:val="32"/>
          <w:lang w:val="en-US" w:eastAsia="zh-CN"/>
        </w:rPr>
        <w:t>2</w:t>
      </w:r>
      <w:r>
        <w:rPr>
          <w:rFonts w:hint="eastAsia" w:ascii="仿宋_GB2312" w:eastAsia="仿宋_GB2312"/>
          <w:sz w:val="32"/>
          <w:szCs w:val="32"/>
        </w:rPr>
        <w:t>人</w:t>
      </w:r>
      <w:r>
        <w:rPr>
          <w:rFonts w:hint="eastAsia" w:ascii="仿宋_GB2312"/>
          <w:sz w:val="32"/>
          <w:szCs w:val="32"/>
          <w:lang w:eastAsia="zh-CN"/>
        </w:rPr>
        <w:t>；</w:t>
      </w:r>
      <w:r>
        <w:rPr>
          <w:rFonts w:hint="eastAsia" w:ascii="仿宋_GB2312" w:eastAsia="仿宋_GB2312"/>
          <w:sz w:val="32"/>
          <w:szCs w:val="32"/>
        </w:rPr>
        <w:t>退休人员</w:t>
      </w:r>
      <w:r>
        <w:rPr>
          <w:rFonts w:hint="eastAsia" w:ascii="仿宋_GB2312" w:eastAsia="仿宋_GB2312"/>
          <w:sz w:val="32"/>
          <w:szCs w:val="32"/>
          <w:lang w:val="en-US" w:eastAsia="zh-CN"/>
        </w:rPr>
        <w:t>2</w:t>
      </w:r>
      <w:r>
        <w:rPr>
          <w:rFonts w:hint="eastAsia" w:ascii="仿宋_GB2312"/>
          <w:sz w:val="32"/>
          <w:szCs w:val="32"/>
          <w:lang w:val="en-US" w:eastAsia="zh-CN"/>
        </w:rPr>
        <w:t>2</w:t>
      </w:r>
      <w:r>
        <w:rPr>
          <w:rFonts w:hint="eastAsia" w:ascii="仿宋_GB2312" w:eastAsia="仿宋_GB2312"/>
          <w:sz w:val="32"/>
          <w:szCs w:val="32"/>
        </w:rPr>
        <w:t>人。</w:t>
      </w: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ind w:firstLine="627" w:firstLineChars="196"/>
        <w:rPr>
          <w:rFonts w:hint="eastAsia" w:ascii="仿宋_GB2312" w:eastAsia="仿宋_GB2312"/>
          <w:sz w:val="32"/>
          <w:szCs w:val="32"/>
        </w:rPr>
      </w:pPr>
    </w:p>
    <w:p>
      <w:pPr>
        <w:spacing w:line="586" w:lineRule="exact"/>
        <w:rPr>
          <w:rFonts w:hint="eastAsia" w:ascii="仿宋_GB2312" w:eastAsia="仿宋_GB2312"/>
          <w:sz w:val="32"/>
          <w:szCs w:val="32"/>
        </w:rPr>
      </w:pPr>
    </w:p>
    <w:p>
      <w:pPr>
        <w:autoSpaceDE w:val="0"/>
        <w:autoSpaceDN w:val="0"/>
        <w:adjustRightInd w:val="0"/>
        <w:spacing w:line="586" w:lineRule="exact"/>
        <w:ind w:left="16" w:leftChars="5" w:firstLine="627" w:firstLineChars="196"/>
        <w:rPr>
          <w:rFonts w:ascii="仿宋_GB2312" w:hAnsi="仿宋_GB2312" w:cs="仿宋_GB2312"/>
          <w:szCs w:val="32"/>
          <w:u w:val="single"/>
        </w:rPr>
      </w:pPr>
      <w:r>
        <w:rPr>
          <w:rFonts w:hint="eastAsia" w:ascii="黑体" w:eastAsia="黑体"/>
          <w:szCs w:val="32"/>
        </w:rPr>
        <w:t>第二部分：</w:t>
      </w:r>
      <w:r>
        <w:rPr>
          <w:rFonts w:hint="eastAsia" w:hAnsi="黑体" w:eastAsia="黑体"/>
          <w:szCs w:val="32"/>
          <w:lang w:eastAsia="zh-CN"/>
        </w:rPr>
        <w:t>灌阳县人民检察院</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hint="eastAsia" w:ascii="仿宋_GB2312"/>
          <w:szCs w:val="32"/>
        </w:rPr>
      </w:pPr>
      <w:r>
        <w:rPr>
          <w:rFonts w:hint="eastAsia" w:ascii="仿宋_GB2312"/>
          <w:szCs w:val="32"/>
        </w:rPr>
        <w:t xml:space="preserve"> </w:t>
      </w:r>
      <w:r>
        <w:rPr>
          <w:rFonts w:hint="eastAsia" w:ascii="仿宋_GB2312"/>
          <w:szCs w:val="32"/>
          <w:lang w:eastAsia="zh-CN"/>
        </w:rPr>
        <w:t>2024</w:t>
      </w:r>
      <w:r>
        <w:rPr>
          <w:rFonts w:hint="eastAsia" w:ascii="仿宋_GB2312"/>
          <w:szCs w:val="32"/>
        </w:rPr>
        <w:t>年收支总预算</w:t>
      </w:r>
      <w:r>
        <w:rPr>
          <w:rFonts w:hint="eastAsia" w:ascii="仿宋_GB2312"/>
          <w:szCs w:val="32"/>
          <w:lang w:val="en-US" w:eastAsia="zh-CN"/>
        </w:rPr>
        <w:t>904.03</w:t>
      </w:r>
      <w:r>
        <w:rPr>
          <w:rFonts w:hint="eastAsia" w:ascii="仿宋_GB2312"/>
          <w:szCs w:val="32"/>
        </w:rPr>
        <w:t>万元，同比</w:t>
      </w:r>
      <w:r>
        <w:rPr>
          <w:rFonts w:hint="eastAsia" w:ascii="仿宋_GB2312"/>
          <w:szCs w:val="32"/>
          <w:lang w:eastAsia="zh-CN"/>
        </w:rPr>
        <w:t>减少</w:t>
      </w:r>
      <w:r>
        <w:rPr>
          <w:rFonts w:hint="eastAsia" w:ascii="仿宋_GB2312"/>
          <w:szCs w:val="32"/>
          <w:lang w:val="en-US" w:eastAsia="zh-CN"/>
        </w:rPr>
        <w:t>100.32万元</w:t>
      </w:r>
      <w:r>
        <w:rPr>
          <w:rFonts w:hint="eastAsia" w:ascii="仿宋_GB2312"/>
          <w:szCs w:val="32"/>
        </w:rPr>
        <w:t>，</w:t>
      </w:r>
      <w:r>
        <w:rPr>
          <w:rFonts w:hint="eastAsia" w:ascii="仿宋_GB2312"/>
          <w:szCs w:val="32"/>
          <w:lang w:eastAsia="zh-CN"/>
        </w:rPr>
        <w:t>下降</w:t>
      </w:r>
      <w:r>
        <w:rPr>
          <w:rFonts w:hint="eastAsia" w:ascii="仿宋_GB2312"/>
          <w:szCs w:val="32"/>
          <w:lang w:val="en-US" w:eastAsia="zh-CN"/>
        </w:rPr>
        <w:t>9.99</w:t>
      </w:r>
      <w:r>
        <w:rPr>
          <w:rFonts w:hint="eastAsia" w:ascii="仿宋_GB2312"/>
          <w:szCs w:val="32"/>
        </w:rPr>
        <w:t>%。其中，收入包括：</w:t>
      </w:r>
      <w:r>
        <w:rPr>
          <w:rFonts w:hint="eastAsia" w:ascii="仿宋_GB2312"/>
          <w:szCs w:val="32"/>
          <w:lang w:val="en-US" w:eastAsia="zh-CN"/>
        </w:rPr>
        <w:t>一般公共预算收入和政府性基金收入。支出包括：公共安全支出、社会保障和就业支出、卫生健康支出、城乡社区支出及住房保障支出。</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rPr>
        <w:t>部门收入总体情况说明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我部门总收入904.03万元，较上年减少9.99 %，主要原因是厉行节约，严控一般支出。</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我部门总支出903.04万元，较上年减少9.99 %，主要原因是厉行节约，严控一般支出。</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1、按支出功能分类科目划分</w:t>
      </w:r>
    </w:p>
    <w:p>
      <w:pPr>
        <w:tabs>
          <w:tab w:val="center" w:pos="4475"/>
        </w:tabs>
        <w:spacing w:line="560" w:lineRule="exact"/>
        <w:ind w:firstLine="645"/>
        <w:rPr>
          <w:rFonts w:hint="eastAsia" w:ascii="仿宋_GB2312"/>
          <w:szCs w:val="32"/>
          <w:lang w:val="en-US" w:eastAsia="zh-CN"/>
        </w:rPr>
      </w:pPr>
      <w:r>
        <w:rPr>
          <w:rFonts w:hint="default" w:ascii="仿宋_GB2312"/>
          <w:szCs w:val="32"/>
          <w:lang w:val="en-US" w:eastAsia="zh-CN"/>
        </w:rPr>
        <w:t>（1）</w:t>
      </w:r>
      <w:r>
        <w:rPr>
          <w:rFonts w:hint="eastAsia" w:ascii="仿宋_GB2312"/>
          <w:szCs w:val="32"/>
          <w:lang w:val="en-US" w:eastAsia="zh-CN"/>
        </w:rPr>
        <w:t>2040401 行政运行支出622.6</w:t>
      </w:r>
      <w:r>
        <w:rPr>
          <w:rFonts w:hint="default" w:ascii="仿宋_GB2312"/>
          <w:szCs w:val="32"/>
          <w:lang w:val="en-US" w:eastAsia="zh-CN"/>
        </w:rPr>
        <w:t>万元，占支出总预算</w:t>
      </w:r>
      <w:r>
        <w:rPr>
          <w:rFonts w:hint="eastAsia"/>
          <w:color w:val="auto"/>
          <w:sz w:val="32"/>
          <w:szCs w:val="32"/>
          <w:highlight w:val="none"/>
          <w:lang w:val="en-US" w:eastAsia="zh-CN"/>
        </w:rPr>
        <w:t>68.87</w:t>
      </w:r>
      <w:r>
        <w:rPr>
          <w:rFonts w:hint="eastAsia" w:eastAsia="仿宋_GB2312"/>
          <w:color w:val="auto"/>
          <w:sz w:val="32"/>
          <w:szCs w:val="32"/>
          <w:highlight w:val="none"/>
        </w:rPr>
        <w:t>％</w:t>
      </w:r>
      <w:r>
        <w:rPr>
          <w:rFonts w:hint="eastAsia" w:ascii="仿宋_GB2312"/>
          <w:szCs w:val="32"/>
          <w:lang w:val="en-US" w:eastAsia="zh-CN"/>
        </w:rPr>
        <w:t>。</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（2）2080501 行政单位退休支出34.68万元，占支出总预算3.84%。</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（3）2080505 机关事业单位基本养老保险缴费支出67.76万元，占支出总预算7.50%。</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（4）2080506 机关事业单位职业年金缴费支出33.88万元，占支出总预算3.75%。</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（4）2101101 行政单位医疗费支出38.96万元，占支出总预算4.31%。</w:t>
      </w:r>
    </w:p>
    <w:p>
      <w:pPr>
        <w:tabs>
          <w:tab w:val="center" w:pos="4475"/>
        </w:tabs>
        <w:spacing w:line="560" w:lineRule="exact"/>
        <w:ind w:firstLine="645"/>
        <w:rPr>
          <w:rFonts w:hint="eastAsia" w:ascii="仿宋_GB2312"/>
          <w:szCs w:val="32"/>
          <w:lang w:val="en-US" w:eastAsia="zh-CN"/>
        </w:rPr>
      </w:pPr>
      <w:r>
        <w:rPr>
          <w:rFonts w:hint="default" w:ascii="仿宋_GB2312"/>
          <w:szCs w:val="32"/>
          <w:lang w:val="en-US" w:eastAsia="zh-CN"/>
        </w:rPr>
        <w:t>（</w:t>
      </w:r>
      <w:r>
        <w:rPr>
          <w:rFonts w:hint="eastAsia" w:ascii="仿宋_GB2312"/>
          <w:szCs w:val="32"/>
          <w:lang w:val="en-US" w:eastAsia="zh-CN"/>
        </w:rPr>
        <w:t>5</w:t>
      </w:r>
      <w:r>
        <w:rPr>
          <w:rFonts w:hint="default" w:ascii="仿宋_GB2312"/>
          <w:szCs w:val="32"/>
          <w:lang w:val="en-US" w:eastAsia="zh-CN"/>
        </w:rPr>
        <w:t>）</w:t>
      </w:r>
      <w:r>
        <w:rPr>
          <w:rFonts w:hint="eastAsia" w:ascii="仿宋_GB2312"/>
          <w:szCs w:val="32"/>
          <w:lang w:val="en-US" w:eastAsia="zh-CN"/>
        </w:rPr>
        <w:t>2101103 公务员医疗补助支出21.17</w:t>
      </w:r>
      <w:r>
        <w:rPr>
          <w:rFonts w:hint="default" w:ascii="仿宋_GB2312"/>
          <w:szCs w:val="32"/>
          <w:lang w:val="en-US" w:eastAsia="zh-CN"/>
        </w:rPr>
        <w:t>万元，占支出总预算</w:t>
      </w:r>
      <w:r>
        <w:rPr>
          <w:rFonts w:hint="eastAsia" w:ascii="仿宋_GB2312"/>
          <w:szCs w:val="32"/>
          <w:lang w:val="en-US" w:eastAsia="zh-CN"/>
        </w:rPr>
        <w:t>20.73</w:t>
      </w:r>
      <w:r>
        <w:rPr>
          <w:rFonts w:hint="default" w:ascii="仿宋_GB2312"/>
          <w:szCs w:val="32"/>
          <w:lang w:val="en-US" w:eastAsia="zh-CN"/>
        </w:rPr>
        <w:t>%，</w:t>
      </w:r>
      <w:r>
        <w:rPr>
          <w:rFonts w:hint="eastAsia" w:ascii="仿宋_GB2312"/>
          <w:szCs w:val="32"/>
          <w:lang w:val="en-US" w:eastAsia="zh-CN"/>
        </w:rPr>
        <w:t>占支出总预算2.34%。</w:t>
      </w:r>
    </w:p>
    <w:p>
      <w:pPr>
        <w:tabs>
          <w:tab w:val="center" w:pos="4475"/>
        </w:tabs>
        <w:spacing w:line="560" w:lineRule="exact"/>
        <w:ind w:firstLine="645"/>
        <w:rPr>
          <w:rFonts w:hint="eastAsia" w:ascii="仿宋_GB2312"/>
          <w:szCs w:val="32"/>
          <w:lang w:val="en-US" w:eastAsia="zh-CN"/>
        </w:rPr>
      </w:pPr>
      <w:r>
        <w:rPr>
          <w:rFonts w:hint="default" w:ascii="仿宋_GB2312"/>
          <w:szCs w:val="32"/>
          <w:lang w:val="en-US" w:eastAsia="zh-CN"/>
        </w:rPr>
        <w:t>（</w:t>
      </w:r>
      <w:r>
        <w:rPr>
          <w:rFonts w:hint="eastAsia" w:ascii="仿宋_GB2312"/>
          <w:szCs w:val="32"/>
          <w:lang w:val="en-US" w:eastAsia="zh-CN"/>
        </w:rPr>
        <w:t>6</w:t>
      </w:r>
      <w:r>
        <w:rPr>
          <w:rFonts w:hint="default" w:ascii="仿宋_GB2312"/>
          <w:szCs w:val="32"/>
          <w:lang w:val="en-US" w:eastAsia="zh-CN"/>
        </w:rPr>
        <w:t>）</w:t>
      </w:r>
      <w:r>
        <w:rPr>
          <w:rFonts w:hint="eastAsia" w:ascii="仿宋_GB2312"/>
          <w:szCs w:val="32"/>
          <w:lang w:val="en-US" w:eastAsia="zh-CN"/>
        </w:rPr>
        <w:t>2120899 其他国有土地使用权出让收入安排的支出34.16</w:t>
      </w:r>
      <w:r>
        <w:rPr>
          <w:rFonts w:hint="default" w:ascii="仿宋_GB2312"/>
          <w:szCs w:val="32"/>
          <w:lang w:val="en-US" w:eastAsia="zh-CN"/>
        </w:rPr>
        <w:t>万元，占支出总预算</w:t>
      </w:r>
      <w:r>
        <w:rPr>
          <w:rFonts w:hint="eastAsia" w:ascii="仿宋_GB2312"/>
          <w:szCs w:val="32"/>
          <w:lang w:val="en-US" w:eastAsia="zh-CN"/>
        </w:rPr>
        <w:t>20.73</w:t>
      </w:r>
      <w:r>
        <w:rPr>
          <w:rFonts w:hint="default" w:ascii="仿宋_GB2312"/>
          <w:szCs w:val="32"/>
          <w:lang w:val="en-US" w:eastAsia="zh-CN"/>
        </w:rPr>
        <w:t>%，</w:t>
      </w:r>
      <w:r>
        <w:rPr>
          <w:rFonts w:hint="eastAsia" w:ascii="仿宋_GB2312"/>
          <w:szCs w:val="32"/>
          <w:lang w:val="en-US" w:eastAsia="zh-CN"/>
        </w:rPr>
        <w:t>占支出总预算3.71%。</w:t>
      </w:r>
    </w:p>
    <w:p>
      <w:pPr>
        <w:tabs>
          <w:tab w:val="center" w:pos="4475"/>
        </w:tabs>
        <w:spacing w:line="560" w:lineRule="exact"/>
        <w:ind w:firstLine="645"/>
        <w:rPr>
          <w:rFonts w:hint="eastAsia" w:ascii="仿宋_GB2312"/>
          <w:szCs w:val="32"/>
          <w:lang w:val="en-US" w:eastAsia="zh-CN"/>
        </w:rPr>
      </w:pPr>
      <w:r>
        <w:rPr>
          <w:rFonts w:hint="default" w:ascii="仿宋_GB2312"/>
          <w:szCs w:val="32"/>
          <w:lang w:val="en-US" w:eastAsia="zh-CN"/>
        </w:rPr>
        <w:t>（</w:t>
      </w:r>
      <w:r>
        <w:rPr>
          <w:rFonts w:hint="eastAsia" w:ascii="仿宋_GB2312"/>
          <w:szCs w:val="32"/>
          <w:lang w:val="en-US" w:eastAsia="zh-CN"/>
        </w:rPr>
        <w:t>7</w:t>
      </w:r>
      <w:r>
        <w:rPr>
          <w:rFonts w:hint="default" w:ascii="仿宋_GB2312"/>
          <w:szCs w:val="32"/>
          <w:lang w:val="en-US" w:eastAsia="zh-CN"/>
        </w:rPr>
        <w:t>）</w:t>
      </w:r>
      <w:r>
        <w:rPr>
          <w:rFonts w:hint="eastAsia" w:ascii="仿宋_GB2312"/>
          <w:szCs w:val="32"/>
          <w:lang w:val="en-US" w:eastAsia="zh-CN"/>
        </w:rPr>
        <w:t>2210201住房公积金支出50.83</w:t>
      </w:r>
      <w:r>
        <w:rPr>
          <w:rFonts w:hint="default" w:ascii="仿宋_GB2312"/>
          <w:szCs w:val="32"/>
          <w:lang w:val="en-US" w:eastAsia="zh-CN"/>
        </w:rPr>
        <w:t>万元，占支出总预算</w:t>
      </w:r>
      <w:r>
        <w:rPr>
          <w:rFonts w:hint="eastAsia" w:ascii="仿宋_GB2312"/>
          <w:szCs w:val="32"/>
          <w:lang w:val="en-US" w:eastAsia="zh-CN"/>
        </w:rPr>
        <w:t>20.73</w:t>
      </w:r>
      <w:r>
        <w:rPr>
          <w:rFonts w:hint="default" w:ascii="仿宋_GB2312"/>
          <w:szCs w:val="32"/>
          <w:lang w:val="en-US" w:eastAsia="zh-CN"/>
        </w:rPr>
        <w:t>%，</w:t>
      </w:r>
      <w:r>
        <w:rPr>
          <w:rFonts w:hint="eastAsia" w:ascii="仿宋_GB2312"/>
          <w:szCs w:val="32"/>
          <w:lang w:val="en-US" w:eastAsia="zh-CN"/>
        </w:rPr>
        <w:t>占支出总预算5.62%。</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部门财政拨款总收入904.03万元，总支出904.03万元（不含财政拨款上年未列支结转收支数）。财政拨款总收入较上年减少9.99%，主要原因是厉行节约，严控一般支出。财政拨款总支出较上年减少9.99%，主要原因是厉行节约，严控一般支出。</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我部门一般公共预算支出共904.03万元，较上年减少9.99%，主要原因是厉行节约，严控一般支出。具体情况为：</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1.按支出功能科目分类</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（1）公共安全支出622.60万元；</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（2）社会保障和就业支出136.32万元；</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（3）卫生健康支出60.14万元；</w:t>
      </w:r>
    </w:p>
    <w:p>
      <w:pPr>
        <w:tabs>
          <w:tab w:val="center" w:pos="4475"/>
        </w:tabs>
        <w:spacing w:line="560" w:lineRule="exact"/>
        <w:ind w:firstLine="645"/>
        <w:rPr>
          <w:rFonts w:hint="default" w:ascii="仿宋_GB2312"/>
          <w:szCs w:val="32"/>
          <w:lang w:val="en-US" w:eastAsia="zh-CN"/>
        </w:rPr>
      </w:pPr>
      <w:r>
        <w:rPr>
          <w:rFonts w:hint="eastAsia" w:ascii="仿宋_GB2312"/>
          <w:szCs w:val="32"/>
          <w:lang w:val="en-US" w:eastAsia="zh-CN"/>
        </w:rPr>
        <w:t>（4）城乡社区支出34.16万元；</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（5）住房保障支出50.82万元；</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2024年一般公共预算基本支出824.87万元，较上年增加29.89%，主要原因是招录新公务，人员增加了。具体情况为：</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1、按经济分类款级科目划分</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（1）301 工资福利支出711.13万元；</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（2）302 商品和服务支出83.46万元；</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（3）303 对个人和家庭的补助</w:t>
      </w:r>
      <w:r>
        <w:rPr>
          <w:rFonts w:hint="eastAsia" w:ascii="仿宋_GB2312"/>
          <w:szCs w:val="32"/>
          <w:lang w:val="en-US" w:eastAsia="zh-CN"/>
        </w:rPr>
        <w:tab/>
      </w:r>
      <w:r>
        <w:rPr>
          <w:rFonts w:hint="eastAsia" w:ascii="仿宋_GB2312"/>
          <w:szCs w:val="32"/>
          <w:lang w:val="en-US" w:eastAsia="zh-CN"/>
        </w:rPr>
        <w:t>30.28万元；</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我部门2024年一般公共预算安排的“三公”经费支出预算13.43万元，同口径比2023年减少3.14万元，下降18.95%，具体如下：</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1.因公出国（境）费2024年预算安排0万元，与上年度持平。</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2.公务接待费2024年预算安排0.68万元，比上年减少0.12万元，下降15%；下降变化原因厉行节约，严控支出。</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3.公务用车购置及运行费2024年预算安排10.83万元，比上年减少2.71万元，下降20%。其中：</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公务用车购置费0万元与上年度持平。</w:t>
      </w:r>
    </w:p>
    <w:p>
      <w:pPr>
        <w:tabs>
          <w:tab w:val="center" w:pos="4475"/>
        </w:tabs>
        <w:spacing w:line="560" w:lineRule="exact"/>
        <w:ind w:firstLine="645"/>
        <w:rPr>
          <w:rFonts w:hint="eastAsia" w:ascii="仿宋_GB2312"/>
          <w:szCs w:val="32"/>
          <w:lang w:val="en-US" w:eastAsia="zh-CN"/>
        </w:rPr>
      </w:pPr>
      <w:r>
        <w:rPr>
          <w:rFonts w:hint="eastAsia" w:ascii="仿宋_GB2312"/>
          <w:szCs w:val="32"/>
          <w:lang w:val="en-US" w:eastAsia="zh-CN"/>
        </w:rPr>
        <w:t>公务用车运行维护费2024年预算安排10.83万元，同比减少2.71万元，下降20%。下降变化原因厉行节约，严控支出。</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我部门政府性基金预算支出共</w:t>
      </w:r>
      <w:r>
        <w:rPr>
          <w:rFonts w:hint="eastAsia" w:ascii="仿宋_GB2312"/>
          <w:szCs w:val="32"/>
          <w:lang w:val="en-US" w:eastAsia="zh-CN"/>
        </w:rPr>
        <w:t>34.16</w:t>
      </w:r>
      <w:r>
        <w:rPr>
          <w:rFonts w:hint="eastAsia" w:ascii="仿宋_GB2312"/>
          <w:szCs w:val="32"/>
        </w:rPr>
        <w:t>万元，较上年减少</w:t>
      </w:r>
      <w:r>
        <w:rPr>
          <w:rFonts w:hint="eastAsia" w:ascii="仿宋_GB2312"/>
          <w:szCs w:val="32"/>
          <w:lang w:val="en-US" w:eastAsia="zh-CN"/>
        </w:rPr>
        <w:t>30</w:t>
      </w:r>
      <w:r>
        <w:rPr>
          <w:rFonts w:hint="eastAsia" w:ascii="仿宋_GB2312"/>
          <w:szCs w:val="32"/>
        </w:rPr>
        <w:t xml:space="preserve"> %，主要原因是</w:t>
      </w:r>
      <w:r>
        <w:rPr>
          <w:rFonts w:hint="eastAsia" w:ascii="仿宋_GB2312"/>
          <w:szCs w:val="32"/>
          <w:lang w:val="en-US" w:eastAsia="zh-CN"/>
        </w:rPr>
        <w:t>厉行节约，严控支出</w:t>
      </w:r>
      <w:r>
        <w:rPr>
          <w:rFonts w:hint="eastAsia" w:ascii="仿宋_GB2312"/>
          <w:szCs w:val="32"/>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hint="eastAsia" w:ascii="仿宋_GB2312" w:hAnsi="宋体" w:eastAsia="仿宋_GB2312" w:cs="仿宋_GB2312"/>
          <w:i w:val="0"/>
          <w:caps w:val="0"/>
          <w:color w:val="auto"/>
          <w:spacing w:val="0"/>
          <w:sz w:val="32"/>
          <w:szCs w:val="32"/>
          <w:shd w:val="clear" w:color="auto" w:fill="auto"/>
          <w:lang w:eastAsia="zh-CN"/>
        </w:rPr>
      </w:pPr>
      <w:r>
        <w:rPr>
          <w:rFonts w:hint="eastAsia" w:ascii="仿宋_GB2312" w:hAnsi="宋体" w:eastAsia="仿宋_GB2312" w:cs="仿宋_GB2312"/>
          <w:i w:val="0"/>
          <w:caps w:val="0"/>
          <w:color w:val="auto"/>
          <w:spacing w:val="0"/>
          <w:sz w:val="32"/>
          <w:szCs w:val="32"/>
          <w:shd w:val="clear" w:color="auto" w:fill="auto"/>
        </w:rPr>
        <w:t>我部门2024年部门预算无政府性基金预算</w:t>
      </w:r>
      <w:r>
        <w:rPr>
          <w:rFonts w:hint="eastAsia" w:ascii="仿宋_GB2312" w:hAnsi="宋体" w:eastAsia="仿宋_GB2312" w:cs="仿宋_GB2312"/>
          <w:i w:val="0"/>
          <w:caps w:val="0"/>
          <w:color w:val="auto"/>
          <w:spacing w:val="0"/>
          <w:sz w:val="32"/>
          <w:szCs w:val="32"/>
          <w:shd w:val="clear" w:color="auto" w:fill="auto"/>
          <w:lang w:eastAsia="zh-CN"/>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b/>
          <w:bCs/>
          <w:szCs w:val="32"/>
        </w:rPr>
      </w:pPr>
      <w:r>
        <w:rPr>
          <w:rFonts w:hint="eastAsia" w:ascii="楷体_GB2312" w:hAnsi="楷体_GB2312" w:eastAsia="楷体_GB2312" w:cs="楷体_GB2312"/>
          <w:b/>
          <w:bCs/>
          <w:szCs w:val="32"/>
        </w:rPr>
        <w:t>（一）机关运行经费安排情况说明</w:t>
      </w:r>
    </w:p>
    <w:p>
      <w:pPr>
        <w:keepNext w:val="0"/>
        <w:keepLines w:val="0"/>
        <w:pageBreakBefore w:val="0"/>
        <w:kinsoku/>
        <w:wordWrap/>
        <w:overflowPunct/>
        <w:topLinePunct w:val="0"/>
        <w:autoSpaceDE w:val="0"/>
        <w:autoSpaceDN w:val="0"/>
        <w:bidi w:val="0"/>
        <w:adjustRightInd w:val="0"/>
        <w:spacing w:line="560" w:lineRule="exact"/>
        <w:ind w:left="96" w:leftChars="30" w:firstLine="627" w:firstLineChars="196"/>
        <w:jc w:val="both"/>
        <w:textAlignment w:val="auto"/>
        <w:rPr>
          <w:rFonts w:hint="eastAsia" w:ascii="仿宋_GB2312" w:hAnsi="宋体"/>
          <w:b/>
          <w:bCs/>
          <w:szCs w:val="32"/>
          <w:u w:val="single"/>
        </w:rPr>
      </w:pPr>
      <w:r>
        <w:rPr>
          <w:rFonts w:hint="eastAsia" w:eastAsia="仿宋_GB2312"/>
          <w:sz w:val="32"/>
          <w:szCs w:val="32"/>
          <w:lang w:val="en-US" w:eastAsia="zh-CN"/>
        </w:rPr>
        <w:t>202</w:t>
      </w:r>
      <w:r>
        <w:rPr>
          <w:rFonts w:hint="eastAsia"/>
          <w:sz w:val="32"/>
          <w:szCs w:val="32"/>
          <w:lang w:val="en-US" w:eastAsia="zh-CN"/>
        </w:rPr>
        <w:t>4</w:t>
      </w:r>
      <w:r>
        <w:rPr>
          <w:rFonts w:hint="eastAsia" w:eastAsia="仿宋_GB2312"/>
          <w:sz w:val="32"/>
          <w:szCs w:val="32"/>
          <w:lang w:val="en-US" w:eastAsia="zh-CN"/>
        </w:rPr>
        <w:t>年机关运行经费会出预算</w:t>
      </w:r>
      <w:r>
        <w:rPr>
          <w:rFonts w:hint="eastAsia"/>
          <w:sz w:val="32"/>
          <w:szCs w:val="32"/>
          <w:lang w:val="en-US" w:eastAsia="zh-CN"/>
        </w:rPr>
        <w:t>8.46</w:t>
      </w:r>
      <w:r>
        <w:rPr>
          <w:rFonts w:hint="eastAsia" w:eastAsia="仿宋_GB2312"/>
          <w:sz w:val="32"/>
          <w:szCs w:val="32"/>
          <w:lang w:val="en-US" w:eastAsia="zh-CN"/>
        </w:rPr>
        <w:t>万元，其中：办公费支出预算</w:t>
      </w:r>
      <w:r>
        <w:rPr>
          <w:rFonts w:hint="eastAsia"/>
          <w:sz w:val="32"/>
          <w:szCs w:val="32"/>
          <w:lang w:val="en-US" w:eastAsia="zh-CN"/>
        </w:rPr>
        <w:t>3.26</w:t>
      </w:r>
      <w:r>
        <w:rPr>
          <w:rFonts w:hint="eastAsia" w:eastAsia="仿宋_GB2312"/>
          <w:sz w:val="32"/>
          <w:szCs w:val="32"/>
          <w:lang w:val="en-US" w:eastAsia="zh-CN"/>
        </w:rPr>
        <w:t>万元、印刷费支出预算</w:t>
      </w:r>
      <w:r>
        <w:rPr>
          <w:rFonts w:hint="eastAsia"/>
          <w:sz w:val="32"/>
          <w:szCs w:val="32"/>
          <w:lang w:val="en-US" w:eastAsia="zh-CN"/>
        </w:rPr>
        <w:t>1.09</w:t>
      </w:r>
      <w:r>
        <w:rPr>
          <w:rFonts w:hint="eastAsia" w:eastAsia="仿宋_GB2312"/>
          <w:sz w:val="32"/>
          <w:szCs w:val="32"/>
          <w:lang w:val="en-US" w:eastAsia="zh-CN"/>
        </w:rPr>
        <w:t>万元、水费支出预算</w:t>
      </w:r>
      <w:r>
        <w:rPr>
          <w:rFonts w:hint="eastAsia"/>
          <w:sz w:val="32"/>
          <w:szCs w:val="32"/>
          <w:lang w:val="en-US" w:eastAsia="zh-CN"/>
        </w:rPr>
        <w:t>0.82</w:t>
      </w:r>
      <w:r>
        <w:rPr>
          <w:rFonts w:hint="eastAsia" w:eastAsia="仿宋_GB2312"/>
          <w:sz w:val="32"/>
          <w:szCs w:val="32"/>
          <w:lang w:val="en-US" w:eastAsia="zh-CN"/>
        </w:rPr>
        <w:t>万元、电费支出预算</w:t>
      </w:r>
      <w:r>
        <w:rPr>
          <w:rFonts w:hint="eastAsia"/>
          <w:sz w:val="32"/>
          <w:szCs w:val="32"/>
          <w:lang w:val="en-US" w:eastAsia="zh-CN"/>
        </w:rPr>
        <w:t>3.06</w:t>
      </w:r>
      <w:r>
        <w:rPr>
          <w:rFonts w:hint="eastAsia" w:eastAsia="仿宋_GB2312"/>
          <w:sz w:val="32"/>
          <w:szCs w:val="32"/>
          <w:lang w:val="en-US" w:eastAsia="zh-CN"/>
        </w:rPr>
        <w:t>万元、邮电费支出预算</w:t>
      </w:r>
      <w:r>
        <w:rPr>
          <w:rFonts w:hint="eastAsia"/>
          <w:sz w:val="32"/>
          <w:szCs w:val="32"/>
          <w:lang w:val="en-US" w:eastAsia="zh-CN"/>
        </w:rPr>
        <w:t>2.06</w:t>
      </w:r>
      <w:r>
        <w:rPr>
          <w:rFonts w:hint="eastAsia" w:eastAsia="仿宋_GB2312"/>
          <w:sz w:val="32"/>
          <w:szCs w:val="32"/>
          <w:lang w:val="en-US" w:eastAsia="zh-CN"/>
        </w:rPr>
        <w:t>万元、差旅费支出预算</w:t>
      </w:r>
      <w:r>
        <w:rPr>
          <w:rFonts w:hint="eastAsia"/>
          <w:sz w:val="32"/>
          <w:szCs w:val="32"/>
          <w:lang w:val="en-US" w:eastAsia="zh-CN"/>
        </w:rPr>
        <w:t>15.17</w:t>
      </w:r>
      <w:r>
        <w:rPr>
          <w:rFonts w:hint="eastAsia" w:eastAsia="仿宋_GB2312"/>
          <w:sz w:val="32"/>
          <w:szCs w:val="32"/>
          <w:lang w:val="en-US" w:eastAsia="zh-CN"/>
        </w:rPr>
        <w:t>万元、维修（护）费支出预算</w:t>
      </w:r>
      <w:r>
        <w:rPr>
          <w:rFonts w:hint="eastAsia"/>
          <w:sz w:val="32"/>
          <w:szCs w:val="32"/>
          <w:lang w:val="en-US" w:eastAsia="zh-CN"/>
        </w:rPr>
        <w:t>0.94</w:t>
      </w:r>
      <w:r>
        <w:rPr>
          <w:rFonts w:hint="eastAsia" w:eastAsia="仿宋_GB2312"/>
          <w:sz w:val="32"/>
          <w:szCs w:val="32"/>
          <w:lang w:val="en-US" w:eastAsia="zh-CN"/>
        </w:rPr>
        <w:t>万元、会议费支出预算</w:t>
      </w:r>
      <w:r>
        <w:rPr>
          <w:rFonts w:hint="eastAsia"/>
          <w:sz w:val="32"/>
          <w:szCs w:val="32"/>
          <w:lang w:val="en-US" w:eastAsia="zh-CN"/>
        </w:rPr>
        <w:t>0.96</w:t>
      </w:r>
      <w:r>
        <w:rPr>
          <w:rFonts w:hint="eastAsia" w:eastAsia="仿宋_GB2312"/>
          <w:sz w:val="32"/>
          <w:szCs w:val="32"/>
          <w:lang w:val="en-US" w:eastAsia="zh-CN"/>
        </w:rPr>
        <w:t>万元、培训费支出预算</w:t>
      </w:r>
      <w:r>
        <w:rPr>
          <w:rFonts w:hint="eastAsia"/>
          <w:sz w:val="32"/>
          <w:szCs w:val="32"/>
          <w:lang w:val="en-US" w:eastAsia="zh-CN"/>
        </w:rPr>
        <w:t>0.96</w:t>
      </w:r>
      <w:r>
        <w:rPr>
          <w:rFonts w:hint="eastAsia" w:eastAsia="仿宋_GB2312"/>
          <w:sz w:val="32"/>
          <w:szCs w:val="32"/>
          <w:lang w:val="en-US" w:eastAsia="zh-CN"/>
        </w:rPr>
        <w:t>万元、公务接待费支出预算0.</w:t>
      </w:r>
      <w:r>
        <w:rPr>
          <w:rFonts w:hint="eastAsia"/>
          <w:sz w:val="32"/>
          <w:szCs w:val="32"/>
          <w:lang w:val="en-US" w:eastAsia="zh-CN"/>
        </w:rPr>
        <w:t>68</w:t>
      </w:r>
      <w:r>
        <w:rPr>
          <w:rFonts w:hint="eastAsia" w:eastAsia="仿宋_GB2312"/>
          <w:sz w:val="32"/>
          <w:szCs w:val="32"/>
          <w:lang w:val="en-US" w:eastAsia="zh-CN"/>
        </w:rPr>
        <w:t>万元、工会经费支出预算</w:t>
      </w:r>
      <w:r>
        <w:rPr>
          <w:rFonts w:hint="eastAsia"/>
          <w:sz w:val="32"/>
          <w:szCs w:val="32"/>
          <w:lang w:val="en-US" w:eastAsia="zh-CN"/>
        </w:rPr>
        <w:t>6.76</w:t>
      </w:r>
      <w:r>
        <w:rPr>
          <w:rFonts w:hint="eastAsia" w:eastAsia="仿宋_GB2312"/>
          <w:sz w:val="32"/>
          <w:szCs w:val="32"/>
          <w:lang w:val="en-US" w:eastAsia="zh-CN"/>
        </w:rPr>
        <w:t>万元、福利费</w:t>
      </w:r>
      <w:r>
        <w:rPr>
          <w:rFonts w:hint="eastAsia"/>
          <w:sz w:val="32"/>
          <w:szCs w:val="32"/>
          <w:lang w:val="en-US" w:eastAsia="zh-CN"/>
        </w:rPr>
        <w:t>0.96</w:t>
      </w:r>
      <w:r>
        <w:rPr>
          <w:rFonts w:hint="eastAsia" w:eastAsia="仿宋_GB2312"/>
          <w:sz w:val="32"/>
          <w:szCs w:val="32"/>
          <w:lang w:val="en-US" w:eastAsia="zh-CN"/>
        </w:rPr>
        <w:t>万元、公务用车运行维护费</w:t>
      </w:r>
      <w:r>
        <w:rPr>
          <w:rFonts w:hint="eastAsia"/>
          <w:sz w:val="32"/>
          <w:szCs w:val="32"/>
          <w:lang w:val="en-US" w:eastAsia="zh-CN"/>
        </w:rPr>
        <w:t>10.83</w:t>
      </w:r>
      <w:r>
        <w:rPr>
          <w:rFonts w:hint="eastAsia" w:eastAsia="仿宋_GB2312"/>
          <w:sz w:val="32"/>
          <w:szCs w:val="32"/>
          <w:lang w:val="en-US" w:eastAsia="zh-CN"/>
        </w:rPr>
        <w:t>万元、其他交通费</w:t>
      </w:r>
      <w:r>
        <w:rPr>
          <w:rFonts w:hint="eastAsia"/>
          <w:sz w:val="32"/>
          <w:szCs w:val="32"/>
          <w:lang w:val="en-US" w:eastAsia="zh-CN"/>
        </w:rPr>
        <w:t>28.56</w:t>
      </w:r>
      <w:r>
        <w:rPr>
          <w:rFonts w:hint="eastAsia" w:eastAsia="仿宋_GB2312"/>
          <w:sz w:val="32"/>
          <w:szCs w:val="32"/>
          <w:lang w:val="en-US" w:eastAsia="zh-CN"/>
        </w:rPr>
        <w:t>万元、其他商品和服务支出</w:t>
      </w:r>
      <w:r>
        <w:rPr>
          <w:rFonts w:hint="eastAsia"/>
          <w:sz w:val="32"/>
          <w:szCs w:val="32"/>
          <w:lang w:val="en-US" w:eastAsia="zh-CN"/>
        </w:rPr>
        <w:t>7.35</w:t>
      </w:r>
      <w:r>
        <w:rPr>
          <w:rFonts w:hint="eastAsia" w:eastAsia="仿宋_GB2312"/>
          <w:sz w:val="32"/>
          <w:szCs w:val="32"/>
          <w:lang w:val="en-US" w:eastAsia="zh-CN"/>
        </w:rPr>
        <w:t>万元。</w:t>
      </w:r>
    </w:p>
    <w:p>
      <w:pPr>
        <w:tabs>
          <w:tab w:val="center" w:pos="4475"/>
        </w:tabs>
        <w:spacing w:line="560" w:lineRule="exact"/>
        <w:ind w:firstLine="645"/>
        <w:rPr>
          <w:rFonts w:ascii="楷体_GB2312" w:hAnsi="楷体_GB2312" w:eastAsia="楷体_GB2312" w:cs="楷体_GB2312"/>
          <w:b/>
          <w:bCs/>
          <w:kern w:val="0"/>
        </w:rPr>
      </w:pPr>
      <w:r>
        <w:rPr>
          <w:rFonts w:hint="eastAsia" w:ascii="楷体_GB2312" w:hAnsi="楷体_GB2312" w:eastAsia="楷体_GB2312" w:cs="楷体_GB2312"/>
          <w:b/>
          <w:bCs/>
          <w:szCs w:val="32"/>
        </w:rPr>
        <w:t>（二）</w:t>
      </w:r>
      <w:r>
        <w:rPr>
          <w:rFonts w:hint="eastAsia" w:ascii="楷体_GB2312" w:hAnsi="楷体_GB2312" w:eastAsia="楷体_GB2312" w:cs="楷体_GB2312"/>
          <w:b/>
          <w:bCs/>
          <w:kern w:val="0"/>
        </w:rPr>
        <w:t>政府采购预算安排情况说明</w:t>
      </w:r>
    </w:p>
    <w:p>
      <w:pPr>
        <w:keepNext w:val="0"/>
        <w:keepLines w:val="0"/>
        <w:pageBreakBefore w:val="0"/>
        <w:kinsoku/>
        <w:wordWrap/>
        <w:overflowPunct/>
        <w:topLinePunct w:val="0"/>
        <w:autoSpaceDE w:val="0"/>
        <w:autoSpaceDN w:val="0"/>
        <w:bidi w:val="0"/>
        <w:adjustRightInd w:val="0"/>
        <w:spacing w:line="560" w:lineRule="exact"/>
        <w:ind w:left="-224" w:leftChars="-70" w:firstLine="947" w:firstLineChars="296"/>
        <w:jc w:val="both"/>
        <w:textAlignment w:val="auto"/>
        <w:rPr>
          <w:rFonts w:hint="eastAsia" w:eastAsia="仿宋_GB2312"/>
          <w:sz w:val="32"/>
          <w:szCs w:val="32"/>
          <w:lang w:val="en-US" w:eastAsia="zh-CN"/>
        </w:rPr>
      </w:pPr>
      <w:r>
        <w:rPr>
          <w:rFonts w:hint="eastAsia" w:eastAsia="仿宋_GB2312"/>
          <w:sz w:val="32"/>
          <w:szCs w:val="32"/>
          <w:lang w:val="en-US" w:eastAsia="zh-CN"/>
        </w:rPr>
        <w:t>我单位202</w:t>
      </w:r>
      <w:r>
        <w:rPr>
          <w:rFonts w:hint="eastAsia"/>
          <w:sz w:val="32"/>
          <w:szCs w:val="32"/>
          <w:lang w:val="en-US" w:eastAsia="zh-CN"/>
        </w:rPr>
        <w:t>4</w:t>
      </w:r>
      <w:r>
        <w:rPr>
          <w:rFonts w:hint="eastAsia" w:eastAsia="仿宋_GB2312"/>
          <w:sz w:val="32"/>
          <w:szCs w:val="32"/>
          <w:lang w:val="en-US" w:eastAsia="zh-CN"/>
        </w:rPr>
        <w:t>年无政府采购预算。</w:t>
      </w:r>
    </w:p>
    <w:p>
      <w:pPr>
        <w:tabs>
          <w:tab w:val="center" w:pos="4475"/>
        </w:tabs>
        <w:spacing w:line="560" w:lineRule="exact"/>
        <w:ind w:firstLine="645"/>
        <w:rPr>
          <w:rFonts w:ascii="楷体_GB2312" w:hAnsi="楷体_GB2312" w:eastAsia="楷体_GB2312" w:cs="楷体_GB2312"/>
          <w:b/>
          <w:bCs/>
          <w:kern w:val="0"/>
        </w:rPr>
      </w:pPr>
      <w:r>
        <w:rPr>
          <w:rFonts w:hint="eastAsia" w:ascii="楷体_GB2312" w:hAnsi="楷体_GB2312" w:eastAsia="楷体_GB2312" w:cs="楷体_GB2312"/>
          <w:b/>
          <w:bCs/>
          <w:kern w:val="0"/>
        </w:rPr>
        <w:t>（三）国有资产占用情况说明</w:t>
      </w:r>
    </w:p>
    <w:p>
      <w:pPr>
        <w:keepNext w:val="0"/>
        <w:keepLines w:val="0"/>
        <w:pageBreakBefore w:val="0"/>
        <w:tabs>
          <w:tab w:val="center" w:pos="4475"/>
        </w:tabs>
        <w:kinsoku/>
        <w:wordWrap/>
        <w:overflowPunct/>
        <w:topLinePunct w:val="0"/>
        <w:bidi w:val="0"/>
        <w:spacing w:line="560" w:lineRule="exact"/>
        <w:ind w:firstLine="645"/>
        <w:jc w:val="both"/>
        <w:textAlignment w:val="auto"/>
        <w:rPr>
          <w:rFonts w:hint="eastAsia" w:ascii="楷体_GB2312" w:hAnsi="楷体_GB2312" w:eastAsia="楷体_GB2312" w:cs="楷体_GB2312"/>
          <w:szCs w:val="32"/>
        </w:rPr>
      </w:pPr>
      <w:r>
        <w:rPr>
          <w:rFonts w:hint="eastAsia" w:ascii="仿宋_GB2312" w:hAnsi="宋体" w:cs="仿宋_GB2312"/>
          <w:i w:val="0"/>
          <w:caps w:val="0"/>
          <w:color w:val="333333"/>
          <w:spacing w:val="0"/>
          <w:sz w:val="32"/>
          <w:szCs w:val="32"/>
          <w:lang w:eastAsia="zh-CN"/>
        </w:rPr>
        <w:t>我单位</w:t>
      </w:r>
      <w:r>
        <w:rPr>
          <w:rFonts w:hint="eastAsia" w:ascii="仿宋_GB2312" w:hAnsi="宋体" w:cs="仿宋_GB2312"/>
          <w:i w:val="0"/>
          <w:caps w:val="0"/>
          <w:color w:val="333333"/>
          <w:spacing w:val="0"/>
          <w:sz w:val="32"/>
          <w:szCs w:val="32"/>
          <w:lang w:val="en-US" w:eastAsia="zh-CN"/>
        </w:rPr>
        <w:t>2024年无国有资产占用相关情况。</w:t>
      </w:r>
    </w:p>
    <w:p>
      <w:pPr>
        <w:numPr>
          <w:ilvl w:val="0"/>
          <w:numId w:val="2"/>
        </w:numPr>
        <w:tabs>
          <w:tab w:val="center" w:pos="4475"/>
        </w:tabs>
        <w:spacing w:line="560" w:lineRule="exact"/>
        <w:ind w:firstLine="645"/>
        <w:rPr>
          <w:rFonts w:hint="eastAsia" w:ascii="楷体_GB2312" w:hAnsi="楷体_GB2312" w:eastAsia="楷体_GB2312" w:cs="楷体_GB2312"/>
          <w:b/>
          <w:bCs/>
          <w:szCs w:val="32"/>
        </w:rPr>
      </w:pPr>
      <w:r>
        <w:rPr>
          <w:rFonts w:hint="eastAsia" w:ascii="楷体_GB2312" w:hAnsi="楷体_GB2312" w:eastAsia="楷体_GB2312" w:cs="楷体_GB2312"/>
          <w:b/>
          <w:bCs/>
          <w:szCs w:val="32"/>
        </w:rPr>
        <w:t>预算绩效目标情况说明</w:t>
      </w:r>
    </w:p>
    <w:p>
      <w:pPr>
        <w:numPr>
          <w:ilvl w:val="0"/>
          <w:numId w:val="0"/>
        </w:numPr>
        <w:autoSpaceDE w:val="0"/>
        <w:autoSpaceDN w:val="0"/>
        <w:adjustRightInd w:val="0"/>
        <w:snapToGrid w:val="0"/>
        <w:spacing w:line="586" w:lineRule="exact"/>
        <w:ind w:firstLine="640" w:firstLineChars="200"/>
        <w:rPr>
          <w:rFonts w:hint="eastAsia" w:ascii="仿宋" w:hAnsi="仿宋" w:eastAsia="仿宋" w:cs="仿宋"/>
          <w:i w:val="0"/>
          <w:caps w:val="0"/>
          <w:color w:val="auto"/>
          <w:spacing w:val="0"/>
          <w:kern w:val="0"/>
          <w:sz w:val="32"/>
          <w:szCs w:val="32"/>
          <w:shd w:val="clear" w:color="auto" w:fill="auto"/>
          <w:lang w:val="en-US" w:eastAsia="zh-CN" w:bidi="ar"/>
        </w:rPr>
      </w:pPr>
      <w:r>
        <w:rPr>
          <w:rFonts w:hint="eastAsia" w:ascii="仿宋" w:hAnsi="仿宋" w:eastAsia="仿宋" w:cs="仿宋"/>
          <w:i w:val="0"/>
          <w:caps w:val="0"/>
          <w:color w:val="auto"/>
          <w:spacing w:val="0"/>
          <w:kern w:val="0"/>
          <w:sz w:val="32"/>
          <w:szCs w:val="32"/>
          <w:shd w:val="clear" w:color="auto" w:fill="auto"/>
          <w:lang w:val="en-US" w:eastAsia="zh-CN" w:bidi="ar"/>
        </w:rPr>
        <w:t>1.我部门2024年所有项目支出全面实施绩效目标管理，涉及市本级项目3个，预算资金79.16万元。</w:t>
      </w:r>
    </w:p>
    <w:p>
      <w:pPr>
        <w:numPr>
          <w:ilvl w:val="0"/>
          <w:numId w:val="0"/>
        </w:numPr>
        <w:autoSpaceDE w:val="0"/>
        <w:autoSpaceDN w:val="0"/>
        <w:adjustRightInd w:val="0"/>
        <w:spacing w:line="586" w:lineRule="exact"/>
        <w:ind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lang w:val="en-US" w:eastAsia="zh-CN"/>
        </w:rPr>
        <w:t>2.</w:t>
      </w:r>
      <w:r>
        <w:rPr>
          <w:rFonts w:hint="eastAsia" w:ascii="仿宋" w:hAnsi="仿宋" w:eastAsia="仿宋" w:cs="仿宋"/>
          <w:color w:val="auto"/>
          <w:sz w:val="32"/>
          <w:szCs w:val="32"/>
          <w:shd w:val="clear" w:color="auto" w:fill="auto"/>
        </w:rPr>
        <w:t>重点项目预算绩效目标说明。</w:t>
      </w:r>
    </w:p>
    <w:p>
      <w:pPr>
        <w:numPr>
          <w:ilvl w:val="0"/>
          <w:numId w:val="0"/>
        </w:numPr>
        <w:autoSpaceDE w:val="0"/>
        <w:autoSpaceDN w:val="0"/>
        <w:adjustRightInd w:val="0"/>
        <w:spacing w:line="586" w:lineRule="exact"/>
        <w:ind w:firstLine="640" w:firstLineChars="200"/>
        <w:rPr>
          <w:rFonts w:hint="eastAsia" w:ascii="黑体" w:eastAsia="仿宋"/>
          <w:szCs w:val="32"/>
          <w:lang w:val="en-US" w:eastAsia="zh-CN"/>
        </w:rPr>
      </w:pPr>
      <w:r>
        <w:rPr>
          <w:rFonts w:hint="eastAsia" w:ascii="仿宋" w:hAnsi="仿宋" w:eastAsia="仿宋" w:cs="仿宋"/>
          <w:color w:val="auto"/>
          <w:sz w:val="32"/>
          <w:szCs w:val="32"/>
          <w:shd w:val="clear" w:color="auto" w:fill="auto"/>
        </w:rPr>
        <w:t>重点项目一：项目名称</w:t>
      </w:r>
      <w:r>
        <w:rPr>
          <w:rFonts w:hint="eastAsia" w:ascii="仿宋" w:hAnsi="仿宋" w:eastAsia="仿宋" w:cs="仿宋"/>
          <w:color w:val="auto"/>
          <w:sz w:val="32"/>
          <w:szCs w:val="32"/>
          <w:shd w:val="clear" w:color="auto" w:fill="auto"/>
          <w:lang w:eastAsia="zh-CN"/>
        </w:rPr>
        <w:t>物业管理费</w:t>
      </w:r>
      <w:r>
        <w:rPr>
          <w:rFonts w:hint="eastAsia" w:ascii="仿宋" w:hAnsi="仿宋" w:eastAsia="仿宋" w:cs="仿宋"/>
          <w:color w:val="auto"/>
          <w:sz w:val="32"/>
          <w:szCs w:val="32"/>
          <w:shd w:val="clear" w:color="auto" w:fill="auto"/>
        </w:rPr>
        <w:t>，预算资金</w:t>
      </w:r>
      <w:r>
        <w:rPr>
          <w:rFonts w:hint="eastAsia" w:ascii="仿宋" w:hAnsi="仿宋" w:eastAsia="仿宋" w:cs="仿宋"/>
          <w:color w:val="auto"/>
          <w:sz w:val="32"/>
          <w:szCs w:val="32"/>
          <w:shd w:val="clear" w:color="auto" w:fill="auto"/>
          <w:lang w:val="en-US" w:eastAsia="zh-CN"/>
        </w:rPr>
        <w:t>35</w:t>
      </w:r>
      <w:r>
        <w:rPr>
          <w:rFonts w:hint="eastAsia" w:ascii="仿宋" w:hAnsi="仿宋" w:eastAsia="仿宋" w:cs="仿宋"/>
          <w:color w:val="auto"/>
          <w:sz w:val="32"/>
          <w:szCs w:val="32"/>
          <w:shd w:val="clear" w:color="auto" w:fill="auto"/>
        </w:rPr>
        <w:t>万元，2024年度绩效目标负责单位物业工作，保障单位的正常运转。设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条数量指标：数量指标1</w:t>
      </w:r>
      <w:r>
        <w:rPr>
          <w:rFonts w:hint="eastAsia" w:ascii="仿宋" w:hAnsi="仿宋" w:eastAsia="仿宋" w:cs="仿宋"/>
          <w:color w:val="auto"/>
          <w:sz w:val="32"/>
          <w:szCs w:val="32"/>
          <w:shd w:val="clear" w:color="auto" w:fill="auto"/>
          <w:lang w:val="en-US" w:eastAsia="zh-CN"/>
        </w:rPr>
        <w:t>.聘请人数</w:t>
      </w:r>
      <w:r>
        <w:rPr>
          <w:rFonts w:hint="eastAsia" w:ascii="仿宋" w:hAnsi="仿宋" w:eastAsia="仿宋" w:cs="仿宋"/>
          <w:color w:val="auto"/>
          <w:sz w:val="32"/>
          <w:szCs w:val="32"/>
          <w:shd w:val="clear" w:color="auto" w:fill="auto"/>
        </w:rPr>
        <w:t>；设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条质量指标：质量指标1.</w:t>
      </w:r>
      <w:r>
        <w:rPr>
          <w:rFonts w:hint="eastAsia" w:ascii="仿宋" w:hAnsi="仿宋" w:eastAsia="仿宋" w:cs="仿宋"/>
          <w:color w:val="auto"/>
          <w:sz w:val="32"/>
          <w:szCs w:val="32"/>
          <w:shd w:val="clear" w:color="auto" w:fill="auto"/>
          <w:lang w:eastAsia="zh-CN"/>
        </w:rPr>
        <w:t>人均工资</w:t>
      </w:r>
      <w:r>
        <w:rPr>
          <w:rFonts w:hint="eastAsia" w:ascii="仿宋" w:hAnsi="仿宋" w:eastAsia="仿宋" w:cs="仿宋"/>
          <w:color w:val="auto"/>
          <w:sz w:val="32"/>
          <w:szCs w:val="32"/>
          <w:shd w:val="clear" w:color="auto" w:fill="auto"/>
        </w:rPr>
        <w:t>；设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条时效指标：时效指标1.时效长；设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条成本指标：成本指标1.成本率；设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条经济效益指标：经济效益指标1.经济效益率</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设</w:t>
      </w:r>
      <w:r>
        <w:rPr>
          <w:rFonts w:hint="eastAsia" w:ascii="仿宋" w:hAnsi="仿宋" w:eastAsia="仿宋" w:cs="仿宋"/>
          <w:color w:val="auto"/>
          <w:sz w:val="32"/>
          <w:szCs w:val="32"/>
          <w:shd w:val="clear" w:color="auto" w:fill="auto"/>
          <w:lang w:val="en-US" w:eastAsia="zh-CN"/>
        </w:rPr>
        <w:t>1</w:t>
      </w:r>
      <w:r>
        <w:rPr>
          <w:rFonts w:hint="eastAsia" w:ascii="仿宋" w:hAnsi="仿宋" w:eastAsia="仿宋" w:cs="仿宋"/>
          <w:color w:val="auto"/>
          <w:sz w:val="32"/>
          <w:szCs w:val="32"/>
          <w:shd w:val="clear" w:color="auto" w:fill="auto"/>
        </w:rPr>
        <w:t>条满意度指标：满意度指标1.单位工作人员满意度</w:t>
      </w:r>
      <w:r>
        <w:rPr>
          <w:rFonts w:hint="eastAsia" w:ascii="仿宋" w:hAnsi="仿宋" w:eastAsia="仿宋" w:cs="仿宋"/>
          <w:color w:val="auto"/>
          <w:sz w:val="32"/>
          <w:szCs w:val="32"/>
          <w:shd w:val="clear" w:color="auto" w:fill="auto"/>
          <w:lang w:eastAsia="zh-CN"/>
        </w:rPr>
        <w:t>。</w:t>
      </w:r>
    </w:p>
    <w:p>
      <w:pPr>
        <w:tabs>
          <w:tab w:val="center" w:pos="4475"/>
        </w:tabs>
        <w:spacing w:line="560" w:lineRule="exact"/>
        <w:ind w:firstLine="645"/>
        <w:jc w:val="center"/>
        <w:rPr>
          <w:rFonts w:hint="eastAsia" w:ascii="黑体" w:eastAsia="黑体"/>
          <w:szCs w:val="32"/>
        </w:rPr>
      </w:pPr>
    </w:p>
    <w:p>
      <w:pPr>
        <w:tabs>
          <w:tab w:val="center" w:pos="4475"/>
        </w:tabs>
        <w:spacing w:line="560" w:lineRule="exact"/>
        <w:jc w:val="left"/>
        <w:rPr>
          <w:rFonts w:ascii="黑体" w:eastAsia="黑体"/>
          <w:szCs w:val="32"/>
        </w:rPr>
      </w:pPr>
      <w:r>
        <w:rPr>
          <w:rFonts w:hint="eastAsia" w:ascii="黑体" w:eastAsia="黑体"/>
          <w:szCs w:val="32"/>
        </w:rPr>
        <w:t>第三部分：名词解释</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ascii="仿宋_GB2312" w:hAnsi="宋体" w:eastAsia="仿宋_GB2312" w:cs="仿宋_GB2312"/>
          <w:i w:val="0"/>
          <w:caps w:val="0"/>
          <w:color w:val="333333"/>
          <w:spacing w:val="0"/>
          <w:kern w:val="0"/>
          <w:sz w:val="32"/>
          <w:szCs w:val="32"/>
          <w:lang w:val="en-US" w:eastAsia="zh-CN" w:bidi="ar"/>
        </w:rPr>
        <w:t>一、一般公共预算拨款：指财政当年拨付的资金。</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二</w:t>
      </w:r>
      <w:r>
        <w:rPr>
          <w:rFonts w:hint="default" w:ascii="仿宋_GB2312" w:hAnsi="宋体" w:eastAsia="仿宋_GB2312" w:cs="仿宋_GB2312"/>
          <w:i w:val="0"/>
          <w:caps w:val="0"/>
          <w:color w:val="333333"/>
          <w:spacing w:val="0"/>
          <w:kern w:val="0"/>
          <w:sz w:val="32"/>
          <w:szCs w:val="32"/>
          <w:lang w:val="en-US" w:eastAsia="zh-CN" w:bidi="ar"/>
        </w:rPr>
        <w:t>、公共安全支出：指用于保障机构正常运行、开展检察业务工作的支出。</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三</w:t>
      </w:r>
      <w:r>
        <w:rPr>
          <w:rFonts w:hint="default" w:ascii="仿宋_GB2312" w:hAnsi="宋体" w:eastAsia="仿宋_GB2312" w:cs="仿宋_GB2312"/>
          <w:i w:val="0"/>
          <w:caps w:val="0"/>
          <w:color w:val="333333"/>
          <w:spacing w:val="0"/>
          <w:kern w:val="0"/>
          <w:sz w:val="32"/>
          <w:szCs w:val="32"/>
          <w:lang w:val="en-US" w:eastAsia="zh-CN" w:bidi="ar"/>
        </w:rPr>
        <w:t>、医疗卫生与计划生育支出：指人员基本医疗、工伤、公务员医疗经费</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四</w:t>
      </w:r>
      <w:r>
        <w:rPr>
          <w:rFonts w:hint="default" w:ascii="仿宋_GB2312" w:hAnsi="宋体" w:eastAsia="仿宋_GB2312" w:cs="仿宋_GB2312"/>
          <w:i w:val="0"/>
          <w:caps w:val="0"/>
          <w:color w:val="333333"/>
          <w:spacing w:val="0"/>
          <w:kern w:val="0"/>
          <w:sz w:val="32"/>
          <w:szCs w:val="32"/>
          <w:lang w:val="en-US" w:eastAsia="zh-CN" w:bidi="ar"/>
        </w:rPr>
        <w:t>、住房保障支出：指按照《住房公积金管理条例》的规定，由单位及其在职职工缴存的长期住房储金。缴存基数为职工本人上年工资收入，缴存比例单位及个人不超过12%。</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五</w:t>
      </w:r>
      <w:r>
        <w:rPr>
          <w:rFonts w:hint="default" w:ascii="仿宋_GB2312" w:hAnsi="宋体" w:eastAsia="仿宋_GB2312" w:cs="仿宋_GB2312"/>
          <w:i w:val="0"/>
          <w:caps w:val="0"/>
          <w:color w:val="333333"/>
          <w:spacing w:val="0"/>
          <w:kern w:val="0"/>
          <w:sz w:val="32"/>
          <w:szCs w:val="32"/>
          <w:lang w:val="en-US" w:eastAsia="zh-CN" w:bidi="ar"/>
        </w:rPr>
        <w:t>、基本支出：为保障机构正常运转、完成日常工作任务而发生的各项支出。</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六</w:t>
      </w:r>
      <w:r>
        <w:rPr>
          <w:rFonts w:hint="default" w:ascii="仿宋_GB2312" w:hAnsi="宋体" w:eastAsia="仿宋_GB2312" w:cs="仿宋_GB2312"/>
          <w:i w:val="0"/>
          <w:caps w:val="0"/>
          <w:color w:val="333333"/>
          <w:spacing w:val="0"/>
          <w:kern w:val="0"/>
          <w:sz w:val="32"/>
          <w:szCs w:val="32"/>
          <w:lang w:val="en-US" w:eastAsia="zh-CN" w:bidi="ar"/>
        </w:rPr>
        <w:t>、项目支出：为完成特定的行政工作任务或检察工作发展目标，在基本支出之外发生的各项支出。</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22"/>
        <w:jc w:val="both"/>
        <w:textAlignment w:val="auto"/>
        <w:rPr>
          <w:rFonts w:hint="eastAsia" w:ascii="宋体" w:hAnsi="宋体" w:eastAsia="宋体" w:cs="宋体"/>
          <w:i w:val="0"/>
          <w:caps w:val="0"/>
          <w:color w:val="333333"/>
          <w:spacing w:val="0"/>
          <w:sz w:val="21"/>
          <w:szCs w:val="21"/>
        </w:rPr>
      </w:pPr>
      <w:r>
        <w:rPr>
          <w:rFonts w:hint="eastAsia" w:ascii="仿宋_GB2312" w:hAnsi="宋体" w:eastAsia="仿宋_GB2312" w:cs="仿宋_GB2312"/>
          <w:i w:val="0"/>
          <w:caps w:val="0"/>
          <w:color w:val="333333"/>
          <w:spacing w:val="0"/>
          <w:kern w:val="0"/>
          <w:sz w:val="32"/>
          <w:szCs w:val="32"/>
          <w:lang w:val="en-US" w:eastAsia="zh-CN" w:bidi="ar"/>
        </w:rPr>
        <w:t>七</w:t>
      </w:r>
      <w:r>
        <w:rPr>
          <w:rFonts w:hint="default" w:ascii="仿宋_GB2312" w:hAnsi="宋体" w:eastAsia="仿宋_GB2312" w:cs="仿宋_GB2312"/>
          <w:i w:val="0"/>
          <w:caps w:val="0"/>
          <w:color w:val="333333"/>
          <w:spacing w:val="0"/>
          <w:kern w:val="0"/>
          <w:sz w:val="32"/>
          <w:szCs w:val="32"/>
          <w:lang w:val="en-US" w:eastAsia="zh-CN" w:bidi="ar"/>
        </w:rPr>
        <w:t>、商品和服务支出：指基本支出、项目支出中为保障单位运行及完成特定工作任务用于购买货物或服务的各项资金，包括办公及印刷费、邮电费、差旅费、会议费、福利费、日常维修费、专用材料及一般设备购置费、办公办案用房水电费、安全维护费、公务用车运行维护费以及其他费用。</w:t>
      </w:r>
    </w:p>
    <w:p>
      <w:pPr>
        <w:keepNext w:val="0"/>
        <w:keepLines w:val="0"/>
        <w:pageBreakBefore w:val="0"/>
        <w:tabs>
          <w:tab w:val="center" w:pos="4475"/>
        </w:tabs>
        <w:kinsoku/>
        <w:wordWrap/>
        <w:overflowPunct/>
        <w:topLinePunct w:val="0"/>
        <w:bidi w:val="0"/>
        <w:spacing w:line="560" w:lineRule="exact"/>
        <w:ind w:firstLine="645"/>
        <w:jc w:val="both"/>
        <w:textAlignment w:val="auto"/>
        <w:rPr>
          <w:rFonts w:ascii="黑体" w:eastAsia="黑体"/>
          <w:szCs w:val="32"/>
        </w:rPr>
      </w:pPr>
      <w:r>
        <w:rPr>
          <w:rFonts w:hint="eastAsia" w:ascii="仿宋_GB2312" w:hAnsi="宋体" w:eastAsia="仿宋_GB2312" w:cs="仿宋_GB2312"/>
          <w:i w:val="0"/>
          <w:caps w:val="0"/>
          <w:color w:val="333333"/>
          <w:spacing w:val="0"/>
          <w:kern w:val="0"/>
          <w:sz w:val="32"/>
          <w:szCs w:val="32"/>
          <w:lang w:val="en-US" w:eastAsia="zh-CN" w:bidi="ar"/>
        </w:rPr>
        <w:t>八</w:t>
      </w:r>
      <w:r>
        <w:rPr>
          <w:rFonts w:hint="default" w:ascii="仿宋_GB2312" w:hAnsi="宋体" w:eastAsia="仿宋_GB2312" w:cs="仿宋_GB2312"/>
          <w:i w:val="0"/>
          <w:caps w:val="0"/>
          <w:color w:val="333333"/>
          <w:spacing w:val="0"/>
          <w:kern w:val="0"/>
          <w:sz w:val="32"/>
          <w:szCs w:val="32"/>
          <w:lang w:val="en-US" w:eastAsia="zh-CN" w:bidi="ar"/>
        </w:rPr>
        <w:t>、“三公”经费：指用财政拨款安排的因公出国（境）费、公务用车购置及运行费和公务接待费。其中，因公出国（境）费反映单位因公出国（境）费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tabs>
          <w:tab w:val="center" w:pos="4475"/>
        </w:tabs>
        <w:spacing w:line="560" w:lineRule="exact"/>
        <w:ind w:firstLine="645"/>
        <w:rPr>
          <w:rFonts w:ascii="黑体" w:eastAsia="黑体"/>
          <w:szCs w:val="32"/>
        </w:rPr>
      </w:pPr>
    </w:p>
    <w:p>
      <w:pPr>
        <w:tabs>
          <w:tab w:val="center" w:pos="4475"/>
        </w:tabs>
        <w:spacing w:line="560" w:lineRule="exact"/>
        <w:jc w:val="both"/>
        <w:rPr>
          <w:rFonts w:ascii="黑体" w:eastAsia="黑体"/>
          <w:szCs w:val="32"/>
        </w:rPr>
      </w:pPr>
      <w:r>
        <w:rPr>
          <w:rFonts w:hint="eastAsia" w:ascii="黑体" w:eastAsia="黑体"/>
          <w:szCs w:val="32"/>
        </w:rPr>
        <w:t>第四部分：</w:t>
      </w:r>
      <w:r>
        <w:rPr>
          <w:rFonts w:hint="eastAsia" w:ascii="黑体" w:hAnsi="宋体" w:eastAsia="黑体"/>
          <w:szCs w:val="32"/>
          <w:lang w:eastAsia="zh-CN"/>
        </w:rPr>
        <w:t>灌阳县人民检察院</w:t>
      </w:r>
      <w:r>
        <w:rPr>
          <w:rFonts w:hint="eastAsia" w:ascii="黑体" w:hAnsi="宋体" w:eastAsia="黑体"/>
          <w:szCs w:val="32"/>
        </w:rPr>
        <w:t>2024年</w:t>
      </w:r>
      <w:r>
        <w:rPr>
          <w:rFonts w:hint="eastAsia" w:ascii="黑体" w:eastAsia="黑体"/>
          <w:szCs w:val="32"/>
        </w:rPr>
        <w:t>部门预算报表</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一、部门收支总体情况表（表1）</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二、部门收入总体情况表（表2）</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三、部门支出总体情况表（表3）</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四、财政拨款收支总体情况表（表4）</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五、一般公共预算支出情况表（表5）</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六、一般公共预算基本支出情况表（表6）</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七、一般公共预算“三公”经费支出情况表（表7）</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八、政府性基金预算支出情况表（表8）</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九、国有资本经营预算支出表（表9）</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十、政府采购预算表（表10）</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十一、部门预算支出经济分类表（表11）</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szCs w:val="32"/>
        </w:rPr>
        <w:t>十二、政府预算支出经济分类表（表12）</w:t>
      </w:r>
    </w:p>
    <w:p>
      <w:pPr>
        <w:keepNext w:val="0"/>
        <w:keepLines w:val="0"/>
        <w:pageBreakBefore w:val="0"/>
        <w:kinsoku/>
        <w:wordWrap/>
        <w:overflowPunct/>
        <w:topLinePunct w:val="0"/>
        <w:bidi w:val="0"/>
        <w:adjustRightInd w:val="0"/>
        <w:snapToGrid w:val="0"/>
        <w:spacing w:line="560" w:lineRule="exact"/>
        <w:ind w:firstLine="470" w:firstLineChars="147"/>
        <w:jc w:val="both"/>
        <w:textAlignment w:val="auto"/>
        <w:rPr>
          <w:szCs w:val="32"/>
        </w:rPr>
      </w:pPr>
      <w:r>
        <w:rPr>
          <w:rFonts w:hint="eastAsia"/>
          <w:szCs w:val="32"/>
        </w:rPr>
        <w:t>十三、项目支出（部门预算）绩效目标申报表（表13）</w:t>
      </w:r>
      <w:bookmarkStart w:id="0" w:name="_GoBack"/>
      <w:bookmarkEnd w:id="0"/>
    </w:p>
    <w:p>
      <w:pPr>
        <w:keepNext w:val="0"/>
        <w:keepLines w:val="0"/>
        <w:pageBreakBefore w:val="0"/>
        <w:kinsoku/>
        <w:wordWrap/>
        <w:overflowPunct/>
        <w:topLinePunct w:val="0"/>
        <w:bidi w:val="0"/>
        <w:spacing w:line="560" w:lineRule="exact"/>
        <w:ind w:firstLine="470" w:firstLineChars="147"/>
        <w:jc w:val="both"/>
        <w:textAlignment w:val="auto"/>
        <w:rPr>
          <w:rFonts w:eastAsia="黑体"/>
          <w:szCs w:val="32"/>
        </w:rPr>
      </w:pPr>
      <w:r>
        <w:rPr>
          <w:rFonts w:hAnsi="黑体" w:eastAsia="黑体"/>
          <w:szCs w:val="32"/>
        </w:rPr>
        <w:t>上述报表详见附件。</w:t>
      </w:r>
    </w:p>
    <w:p>
      <w:pPr>
        <w:keepNext w:val="0"/>
        <w:keepLines w:val="0"/>
        <w:pageBreakBefore w:val="0"/>
        <w:kinsoku/>
        <w:wordWrap/>
        <w:overflowPunct/>
        <w:topLinePunct w:val="0"/>
        <w:autoSpaceDE w:val="0"/>
        <w:autoSpaceDN w:val="0"/>
        <w:bidi w:val="0"/>
        <w:adjustRightInd w:val="0"/>
        <w:spacing w:line="560" w:lineRule="exact"/>
        <w:ind w:left="-224" w:leftChars="-70" w:firstLine="626" w:firstLineChars="195"/>
        <w:jc w:val="both"/>
        <w:textAlignment w:val="auto"/>
        <w:rPr>
          <w:b/>
          <w:szCs w:val="32"/>
        </w:rPr>
      </w:pPr>
      <w:r>
        <w:rPr>
          <w:rFonts w:hint="eastAsia"/>
          <w:b/>
          <w:szCs w:val="32"/>
        </w:rPr>
        <w:t>附件.</w:t>
      </w:r>
      <w:r>
        <w:rPr>
          <w:rFonts w:hint="eastAsia" w:ascii="黑体" w:hAnsi="宋体" w:eastAsia="黑体"/>
          <w:szCs w:val="32"/>
        </w:rPr>
        <w:t xml:space="preserve"> </w:t>
      </w:r>
      <w:r>
        <w:rPr>
          <w:rFonts w:hint="eastAsia"/>
          <w:b/>
          <w:szCs w:val="32"/>
          <w:lang w:eastAsia="zh-CN"/>
        </w:rPr>
        <w:t>桂林市灌阳县人民检察院</w:t>
      </w:r>
      <w:r>
        <w:rPr>
          <w:rFonts w:hint="eastAsia"/>
          <w:b/>
          <w:szCs w:val="32"/>
        </w:rPr>
        <w:t>部门预算报表（财政审核）（桂林市本级预算公开表）</w:t>
      </w:r>
      <w:r>
        <w:rPr>
          <w:b/>
          <w:szCs w:val="32"/>
        </w:rPr>
        <w:t>.xls</w:t>
      </w:r>
    </w:p>
    <w:p>
      <w:pPr>
        <w:keepNext w:val="0"/>
        <w:keepLines w:val="0"/>
        <w:pageBreakBefore w:val="0"/>
        <w:tabs>
          <w:tab w:val="center" w:pos="4475"/>
        </w:tabs>
        <w:kinsoku/>
        <w:wordWrap/>
        <w:overflowPunct/>
        <w:topLinePunct w:val="0"/>
        <w:bidi w:val="0"/>
        <w:spacing w:line="560" w:lineRule="exact"/>
        <w:ind w:firstLine="645"/>
        <w:jc w:val="both"/>
        <w:textAlignment w:val="auto"/>
        <w:rPr>
          <w:rFonts w:ascii="仿宋_GB2312" w:hAnsi="宋体"/>
          <w:szCs w:val="32"/>
          <w:u w:val="single"/>
        </w:rPr>
      </w:pPr>
    </w:p>
    <w:p>
      <w:pPr>
        <w:keepNext w:val="0"/>
        <w:keepLines w:val="0"/>
        <w:pageBreakBefore w:val="0"/>
        <w:kinsoku/>
        <w:wordWrap/>
        <w:overflowPunct/>
        <w:topLinePunct w:val="0"/>
        <w:bidi w:val="0"/>
        <w:spacing w:line="560" w:lineRule="exact"/>
        <w:jc w:val="both"/>
        <w:textAlignment w:val="auto"/>
      </w:pPr>
    </w:p>
    <w:p/>
    <w:sectPr>
      <w:headerReference r:id="rId3" w:type="default"/>
      <w:footerReference r:id="rId4" w:type="default"/>
      <w:footerReference r:id="rId5"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538FD"/>
    <w:multiLevelType w:val="singleLevel"/>
    <w:tmpl w:val="CD8538FD"/>
    <w:lvl w:ilvl="0" w:tentative="0">
      <w:start w:val="4"/>
      <w:numFmt w:val="chineseCounting"/>
      <w:suff w:val="nothing"/>
      <w:lvlText w:val="（%1）"/>
      <w:lvlJc w:val="left"/>
      <w:rPr>
        <w:rFonts w:hint="eastAsia"/>
      </w:rPr>
    </w:lvl>
  </w:abstractNum>
  <w:abstractNum w:abstractNumId="1">
    <w:nsid w:val="3F272561"/>
    <w:multiLevelType w:val="singleLevel"/>
    <w:tmpl w:val="3F27256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C20C21"/>
    <w:rsid w:val="00C42C76"/>
    <w:rsid w:val="00CD21AA"/>
    <w:rsid w:val="00E72012"/>
    <w:rsid w:val="02B068EF"/>
    <w:rsid w:val="02D45932"/>
    <w:rsid w:val="077324C8"/>
    <w:rsid w:val="0D6C2793"/>
    <w:rsid w:val="10580BDC"/>
    <w:rsid w:val="13D03611"/>
    <w:rsid w:val="158E39A6"/>
    <w:rsid w:val="1B351FAC"/>
    <w:rsid w:val="1C250C52"/>
    <w:rsid w:val="20C6425C"/>
    <w:rsid w:val="2A5C220C"/>
    <w:rsid w:val="2CA77BF8"/>
    <w:rsid w:val="2EAA14AF"/>
    <w:rsid w:val="3F855657"/>
    <w:rsid w:val="40D27DE8"/>
    <w:rsid w:val="42E17B48"/>
    <w:rsid w:val="45125DF5"/>
    <w:rsid w:val="4D4B7289"/>
    <w:rsid w:val="4F2935FA"/>
    <w:rsid w:val="53A641C9"/>
    <w:rsid w:val="547A10CF"/>
    <w:rsid w:val="55537708"/>
    <w:rsid w:val="56A40D9A"/>
    <w:rsid w:val="62BF0B8F"/>
    <w:rsid w:val="6A3E5B5D"/>
    <w:rsid w:val="76446418"/>
    <w:rsid w:val="772B2E92"/>
    <w:rsid w:val="7C95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6</TotalTime>
  <ScaleCrop>false</ScaleCrop>
  <LinksUpToDate>false</LinksUpToDate>
  <CharactersWithSpaces>4191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weiqinqin</cp:lastModifiedBy>
  <dcterms:modified xsi:type="dcterms:W3CDTF">2024-03-20T09:21:18Z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E1A0D876BB4940318B792196079BF341</vt:lpwstr>
  </property>
</Properties>
</file>